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Toc483400307"/>
      <w:bookmarkStart w:id="1" w:name="_Toc482717189"/>
      <w:bookmarkStart w:id="2" w:name="_Toc483227223"/>
      <w:bookmarkStart w:id="3" w:name="_Toc483666358"/>
      <w:bookmarkStart w:id="4" w:name="_Toc484532399"/>
    </w:p>
    <w:p>
      <w:pPr>
        <w:spacing w:after="158" w:afterLines="50"/>
        <w:jc w:val="center"/>
        <w:rPr>
          <w:rFonts w:ascii="宋体" w:hAnsi="宋体" w:cs="宋体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eastAsia="zh-CN"/>
        </w:rPr>
        <w:t>质量管理部质检室荧光定量</w:t>
      </w:r>
      <w:r>
        <w:rPr>
          <w:b/>
          <w:sz w:val="28"/>
          <w:szCs w:val="28"/>
          <w:lang w:val="en-US" w:eastAsia="zh-CN"/>
        </w:rPr>
        <w:t>PCR</w:t>
      </w:r>
      <w:r>
        <w:rPr>
          <w:rFonts w:hint="eastAsia"/>
          <w:b/>
          <w:sz w:val="28"/>
          <w:szCs w:val="28"/>
          <w:lang w:val="en-US" w:eastAsia="zh-CN"/>
        </w:rPr>
        <w:t>仪</w:t>
      </w:r>
      <w:r>
        <w:rPr>
          <w:rFonts w:hint="eastAsia"/>
          <w:b/>
          <w:sz w:val="28"/>
          <w:szCs w:val="28"/>
          <w:lang w:eastAsia="zh-CN"/>
        </w:rPr>
        <w:t>用户需求说明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(</w:t>
      </w:r>
      <w:r>
        <w:rPr>
          <w:b/>
          <w:sz w:val="28"/>
          <w:szCs w:val="28"/>
          <w:lang w:eastAsia="zh-CN"/>
        </w:rPr>
        <w:t>URS</w:t>
      </w:r>
      <w:bookmarkEnd w:id="0"/>
      <w:bookmarkEnd w:id="1"/>
      <w:bookmarkEnd w:id="2"/>
      <w:bookmarkEnd w:id="3"/>
      <w:bookmarkEnd w:id="4"/>
      <w:r>
        <w:rPr>
          <w:rFonts w:hint="eastAsia" w:ascii="宋体" w:hAnsi="宋体" w:cs="宋体"/>
          <w:b/>
          <w:sz w:val="28"/>
          <w:szCs w:val="28"/>
          <w:lang w:val="en-US" w:eastAsia="zh-CN"/>
        </w:rPr>
        <w:t>)</w:t>
      </w:r>
    </w:p>
    <w:p>
      <w:pPr>
        <w:spacing w:after="158" w:afterLines="50"/>
        <w:jc w:val="center"/>
        <w:rPr>
          <w:rFonts w:ascii="宋体" w:hAnsi="宋体" w:cs="宋体"/>
          <w:b/>
          <w:sz w:val="28"/>
          <w:szCs w:val="28"/>
          <w:lang w:val="en-US" w:eastAsia="zh-CN"/>
        </w:rPr>
      </w:pPr>
    </w:p>
    <w:p>
      <w:pPr>
        <w:pStyle w:val="44"/>
        <w:numPr>
          <w:ilvl w:val="0"/>
          <w:numId w:val="3"/>
        </w:numPr>
        <w:spacing w:after="158" w:afterLines="50"/>
        <w:ind w:left="426" w:hanging="426" w:hangingChars="202"/>
        <w:outlineLvl w:val="0"/>
        <w:rPr>
          <w:rFonts w:ascii="Times New Roman" w:hAnsi="Times New Roman"/>
          <w:b/>
        </w:rPr>
      </w:pPr>
      <w:bookmarkStart w:id="5" w:name="_Toc522716119"/>
      <w:bookmarkStart w:id="6" w:name="_Toc522107739"/>
      <w:r>
        <w:rPr>
          <w:rFonts w:hint="eastAsia" w:ascii="Times New Roman" w:hAnsi="Times New Roman"/>
          <w:b/>
        </w:rPr>
        <w:t>系统描述</w:t>
      </w:r>
      <w:bookmarkEnd w:id="5"/>
      <w:bookmarkEnd w:id="6"/>
    </w:p>
    <w:p>
      <w:pPr>
        <w:pStyle w:val="53"/>
        <w:spacing w:before="0" w:line="360" w:lineRule="auto"/>
        <w:ind w:left="357"/>
        <w:jc w:val="left"/>
        <w:rPr>
          <w:i/>
          <w:color w:val="4472C4"/>
          <w:szCs w:val="21"/>
          <w:lang w:eastAsia="zh-CN"/>
        </w:rPr>
      </w:pPr>
      <w:r>
        <w:rPr>
          <w:rFonts w:hint="eastAsia"/>
          <w:iCs/>
          <w:sz w:val="21"/>
          <w:szCs w:val="21"/>
          <w:lang w:val="it-IT" w:eastAsia="zh-CN"/>
        </w:rPr>
        <w:t>本系统由基本</w:t>
      </w:r>
      <w:r>
        <w:rPr>
          <w:iCs/>
          <w:sz w:val="21"/>
          <w:szCs w:val="21"/>
          <w:lang w:eastAsia="zh-CN"/>
        </w:rPr>
        <w:t>PCR</w:t>
      </w:r>
      <w:r>
        <w:rPr>
          <w:rFonts w:hint="eastAsia"/>
          <w:iCs/>
          <w:sz w:val="21"/>
          <w:szCs w:val="21"/>
          <w:lang w:eastAsia="zh-CN"/>
        </w:rPr>
        <w:t>部分、荧光检测部分和上位计算机部分组成。基本</w:t>
      </w:r>
      <w:r>
        <w:rPr>
          <w:iCs/>
          <w:sz w:val="21"/>
          <w:szCs w:val="21"/>
          <w:lang w:eastAsia="zh-CN"/>
        </w:rPr>
        <w:t>PCR</w:t>
      </w:r>
      <w:r>
        <w:rPr>
          <w:rFonts w:hint="eastAsia"/>
          <w:iCs/>
          <w:sz w:val="21"/>
          <w:szCs w:val="21"/>
          <w:lang w:eastAsia="zh-CN"/>
        </w:rPr>
        <w:t>部分是该仪器的基础，包括加热丝、温度采集与处理等部分，它必须具有精确控温、快速升降温、温度场均一等</w:t>
      </w:r>
      <w:r>
        <w:rPr>
          <w:iCs/>
          <w:sz w:val="21"/>
          <w:szCs w:val="21"/>
          <w:lang w:eastAsia="zh-CN"/>
        </w:rPr>
        <w:t>PCR</w:t>
      </w:r>
      <w:r>
        <w:rPr>
          <w:rFonts w:hint="eastAsia"/>
          <w:iCs/>
          <w:sz w:val="21"/>
          <w:szCs w:val="21"/>
          <w:lang w:eastAsia="zh-CN"/>
        </w:rPr>
        <w:t>仪的基本要求，保证</w:t>
      </w:r>
      <w:r>
        <w:rPr>
          <w:iCs/>
          <w:sz w:val="21"/>
          <w:szCs w:val="21"/>
          <w:lang w:eastAsia="zh-CN"/>
        </w:rPr>
        <w:t>PCR</w:t>
      </w:r>
      <w:r>
        <w:rPr>
          <w:rFonts w:hint="eastAsia"/>
          <w:iCs/>
          <w:sz w:val="21"/>
          <w:szCs w:val="21"/>
          <w:lang w:eastAsia="zh-CN"/>
        </w:rPr>
        <w:t>过程的顺利完成。荧光检测部分包括激励光源、光电信增管、信号采集与处理等部分。上位计算机部分包括数据采集和系统分析软件，主要负责从下位机采集数据，形成实时图形，并进行数据处理和圆形分析，得到目标</w:t>
      </w:r>
      <w:r>
        <w:rPr>
          <w:iCs/>
          <w:sz w:val="21"/>
          <w:szCs w:val="21"/>
          <w:lang w:eastAsia="zh-CN"/>
        </w:rPr>
        <w:t>DNA</w:t>
      </w:r>
      <w:r>
        <w:rPr>
          <w:rFonts w:hint="eastAsia"/>
          <w:iCs/>
          <w:sz w:val="21"/>
          <w:szCs w:val="21"/>
          <w:lang w:eastAsia="zh-CN"/>
        </w:rPr>
        <w:t>片段的含量和其它检测报告信息等。</w:t>
      </w:r>
    </w:p>
    <w:p>
      <w:pPr>
        <w:pStyle w:val="44"/>
        <w:numPr>
          <w:ilvl w:val="0"/>
          <w:numId w:val="3"/>
        </w:numPr>
        <w:spacing w:after="158" w:afterLines="50"/>
        <w:ind w:left="426" w:hanging="426" w:hangingChars="202"/>
        <w:outlineLvl w:val="0"/>
        <w:rPr>
          <w:rFonts w:ascii="Times New Roman" w:hAnsi="Times New Roman"/>
          <w:b/>
          <w:szCs w:val="21"/>
        </w:rPr>
      </w:pPr>
      <w:bookmarkStart w:id="7" w:name="_Toc522716120"/>
      <w:r>
        <w:rPr>
          <w:rFonts w:hint="eastAsia" w:ascii="Times New Roman" w:hAnsi="Times New Roman"/>
          <w:b/>
          <w:szCs w:val="21"/>
        </w:rPr>
        <w:t>安装要求</w:t>
      </w:r>
      <w:bookmarkEnd w:id="7"/>
    </w:p>
    <w:p>
      <w:pPr>
        <w:pStyle w:val="44"/>
        <w:spacing w:after="158" w:afterLines="50"/>
        <w:ind w:left="425" w:firstLine="0" w:firstLineChars="0"/>
        <w:rPr>
          <w:rFonts w:ascii="Times New Roman" w:hAnsi="Times New Roman"/>
          <w:szCs w:val="21"/>
        </w:rPr>
      </w:pPr>
    </w:p>
    <w:tbl>
      <w:tblPr>
        <w:tblStyle w:val="19"/>
        <w:tblW w:w="10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7128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</w:rPr>
            </w:pPr>
            <w:bookmarkStart w:id="8" w:name="OLE_LINK2"/>
            <w:bookmarkStart w:id="9" w:name="OLE_LINK1"/>
            <w:r>
              <w:rPr>
                <w:rFonts w:hint="eastAsia"/>
                <w:b/>
                <w:szCs w:val="21"/>
              </w:rPr>
              <w:t>编号</w:t>
            </w:r>
          </w:p>
        </w:tc>
        <w:tc>
          <w:tcPr>
            <w:tcW w:w="7128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安装位置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/>
                <w:color w:val="0070C0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质量管理部质检室扩增室。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i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 xml:space="preserve">           2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安装尺寸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安装桌面的尺寸不少于</w:t>
            </w:r>
            <w:r>
              <w:rPr>
                <w:szCs w:val="21"/>
                <w:lang w:val="en-US" w:eastAsia="zh-CN"/>
              </w:rPr>
              <w:t>0.6m</w:t>
            </w:r>
            <w:r>
              <w:rPr>
                <w:rFonts w:hint="eastAsia"/>
                <w:szCs w:val="21"/>
                <w:lang w:val="en-US" w:eastAsia="zh-CN"/>
              </w:rPr>
              <w:t>宽，</w:t>
            </w:r>
            <w:r>
              <w:rPr>
                <w:szCs w:val="21"/>
                <w:lang w:val="en-US" w:eastAsia="zh-CN"/>
              </w:rPr>
              <w:t>1.5m</w:t>
            </w:r>
            <w:r>
              <w:rPr>
                <w:rFonts w:hint="eastAsia"/>
                <w:szCs w:val="21"/>
                <w:lang w:val="en-US" w:eastAsia="zh-CN"/>
              </w:rPr>
              <w:t>长。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设备的形式尺寸应符合制造商说明书及技术文件规定的要求。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供应商必须给出设备选型方案及相应附件选型方案，并交给我公司使用部门及工程类部门审核。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3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承重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整机和电脑不超过</w:t>
            </w:r>
            <w:r>
              <w:rPr>
                <w:szCs w:val="21"/>
                <w:lang w:val="en-US" w:eastAsia="zh-CN"/>
              </w:rPr>
              <w:t>45kg</w:t>
            </w:r>
            <w:r>
              <w:rPr>
                <w:rFonts w:hint="eastAsia"/>
                <w:szCs w:val="21"/>
                <w:lang w:val="en-US" w:eastAsia="zh-CN"/>
              </w:rPr>
              <w:t>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4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洁净级别和房间环境条件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2"/>
                <w:lang w:eastAsia="zh-CN"/>
              </w:rPr>
              <w:t>适用于我公司工作环境温度：</w:t>
            </w:r>
            <w:r>
              <w:rPr>
                <w:color w:val="000000"/>
                <w:szCs w:val="22"/>
                <w:lang w:val="en-US" w:eastAsia="zh-CN"/>
              </w:rPr>
              <w:t>15-30</w:t>
            </w:r>
            <w:r>
              <w:rPr>
                <w:rFonts w:hint="eastAsia"/>
                <w:color w:val="000000"/>
                <w:szCs w:val="22"/>
                <w:lang w:val="en-US" w:eastAsia="zh-CN"/>
              </w:rPr>
              <w:t>℃。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适用于我公司工作环境湿度：</w:t>
            </w:r>
            <w:r>
              <w:rPr>
                <w:color w:val="000000"/>
                <w:lang w:val="en-US" w:eastAsia="zh-CN"/>
              </w:rPr>
              <w:t>20%-80%</w:t>
            </w:r>
            <w:r>
              <w:rPr>
                <w:rFonts w:hint="eastAsia"/>
                <w:color w:val="000000"/>
                <w:lang w:val="en-US" w:eastAsia="zh-CN"/>
              </w:rPr>
              <w:t>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适用于我公司工作环境洁净级别：无特殊要求。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5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可用的能源配置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color w:val="000000"/>
                <w:szCs w:val="22"/>
                <w:lang w:eastAsia="zh-CN"/>
              </w:rPr>
            </w:pPr>
            <w:r>
              <w:rPr>
                <w:rFonts w:hint="eastAsia"/>
                <w:color w:val="000000"/>
                <w:szCs w:val="22"/>
                <w:lang w:eastAsia="zh-CN"/>
              </w:rPr>
              <w:t>适用于我公司交流电电源供电：～220±10%V，50±1Hz 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6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外观材质要求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/>
                <w:color w:val="000000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整机外壳应光滑易清洁。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标识：至少应有以下永久贴牢和清楚易认的标识： </w:t>
            </w:r>
          </w:p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（1）制造/供应单位；</w:t>
            </w:r>
          </w:p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（2）产品注册号；</w:t>
            </w:r>
          </w:p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（3）型号；</w:t>
            </w:r>
          </w:p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（4）生产日期或编号；</w:t>
            </w:r>
          </w:p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（5）对设备必要的说明；</w:t>
            </w:r>
          </w:p>
          <w:p>
            <w:pPr>
              <w:spacing w:line="276" w:lineRule="auto"/>
              <w:jc w:val="both"/>
              <w:rPr>
                <w:color w:val="0070C0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（6）安全标识。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bookmarkEnd w:id="8"/>
      <w:bookmarkEnd w:id="9"/>
    </w:tbl>
    <w:p>
      <w:pPr>
        <w:pStyle w:val="44"/>
        <w:spacing w:after="158" w:afterLines="50"/>
        <w:ind w:left="425" w:firstLine="0" w:firstLineChars="0"/>
        <w:rPr>
          <w:rFonts w:ascii="Times New Roman" w:hAnsi="Times New Roman"/>
          <w:szCs w:val="21"/>
        </w:rPr>
      </w:pPr>
    </w:p>
    <w:p>
      <w:pPr>
        <w:pStyle w:val="44"/>
        <w:numPr>
          <w:ilvl w:val="0"/>
          <w:numId w:val="3"/>
        </w:numPr>
        <w:spacing w:after="158" w:afterLines="50"/>
        <w:ind w:left="426" w:hanging="426" w:hangingChars="202"/>
        <w:outlineLvl w:val="0"/>
        <w:rPr>
          <w:rFonts w:ascii="Times New Roman" w:hAnsi="Times New Roman"/>
          <w:b/>
        </w:rPr>
      </w:pPr>
      <w:bookmarkStart w:id="10" w:name="_Toc522716121"/>
      <w:bookmarkStart w:id="11" w:name="_Toc522107740"/>
      <w:r>
        <w:rPr>
          <w:rFonts w:hint="eastAsia" w:ascii="Times New Roman" w:hAnsi="Times New Roman"/>
          <w:b/>
        </w:rPr>
        <w:t>运行要求</w:t>
      </w:r>
      <w:bookmarkEnd w:id="10"/>
      <w:bookmarkEnd w:id="11"/>
    </w:p>
    <w:tbl>
      <w:tblPr>
        <w:tblStyle w:val="19"/>
        <w:tblW w:w="10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7128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编号</w:t>
            </w:r>
          </w:p>
        </w:tc>
        <w:tc>
          <w:tcPr>
            <w:tcW w:w="7128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</w:rPr>
              <w:t>设备效率、产能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rPr>
                <w:szCs w:val="21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内置</w:t>
            </w:r>
            <w:r>
              <w:rPr>
                <w:rFonts w:ascii="宋体" w:hAnsi="宋体"/>
                <w:lang w:eastAsia="zh-CN"/>
              </w:rPr>
              <w:t>96</w:t>
            </w:r>
            <w:r>
              <w:rPr>
                <w:rFonts w:hint="eastAsia" w:ascii="宋体" w:hAnsi="宋体"/>
                <w:lang w:eastAsia="zh-CN"/>
              </w:rPr>
              <w:t>孔半导体控温</w:t>
            </w:r>
            <w:r>
              <w:rPr>
                <w:rFonts w:ascii="宋体" w:hAnsi="宋体"/>
                <w:lang w:eastAsia="zh-CN"/>
              </w:rPr>
              <w:t>PCR</w:t>
            </w:r>
            <w:r>
              <w:rPr>
                <w:rFonts w:hint="eastAsia" w:ascii="宋体" w:hAnsi="宋体"/>
                <w:lang w:eastAsia="zh-CN"/>
              </w:rPr>
              <w:t>仪。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2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</w:rPr>
              <w:t>工艺参数范围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rPr>
                <w:rFonts w:ascii="宋体" w:hAnsi="宋体"/>
                <w:szCs w:val="22"/>
                <w:lang w:eastAsia="zh-CN"/>
              </w:rPr>
            </w:pPr>
            <w:r>
              <w:rPr>
                <w:rFonts w:hint="eastAsia" w:ascii="宋体" w:hAnsi="宋体"/>
                <w:szCs w:val="22"/>
                <w:lang w:eastAsia="zh-CN"/>
              </w:rPr>
              <w:t>模块独立控温功能：96孔0.2ml标准模块和0.1ml快速模块均支持6个独立的精确数码控温区域，一次实验可运行</w:t>
            </w:r>
            <w:r>
              <w:rPr>
                <w:rFonts w:hint="eastAsia" w:ascii="宋体" w:hAnsi="宋体"/>
                <w:szCs w:val="22"/>
                <w:lang w:val="en-US" w:eastAsia="zh-CN"/>
              </w:rPr>
              <w:t>3～</w:t>
            </w:r>
            <w:r>
              <w:rPr>
                <w:rFonts w:hint="eastAsia" w:ascii="宋体" w:hAnsi="宋体"/>
                <w:szCs w:val="22"/>
                <w:lang w:eastAsia="zh-CN"/>
              </w:rPr>
              <w:t>6个不同温度。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rPr>
                <w:rFonts w:ascii="宋体" w:hAnsi="宋体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Cs w:val="22"/>
                <w:lang w:val="en-US" w:eastAsia="zh-CN"/>
              </w:rPr>
              <w:t>光源：单个白光半导体光源激发整板荧光基团。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rPr>
                <w:rFonts w:asci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检测器数量：单个科研级别CMOS检测整板荧光基团；</w:t>
            </w:r>
          </w:p>
          <w:p>
            <w:pPr>
              <w:rPr>
                <w:rFonts w:asci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荧光检测通道：单个样品孔可检测6个或以上靶标基因。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rPr>
                <w:rFonts w:ascii="宋体" w:hAnsi="宋体"/>
                <w:szCs w:val="22"/>
                <w:lang w:val="en-US" w:eastAsia="zh-CN"/>
              </w:rPr>
            </w:pPr>
            <w:r>
              <w:rPr>
                <w:rFonts w:hint="default" w:ascii="Times New Roman" w:hAnsi="Times New Roman"/>
                <w:szCs w:val="22"/>
                <w:lang w:eastAsia="zh-CN"/>
              </w:rPr>
              <w:t>最</w:t>
            </w:r>
            <w:r>
              <w:rPr>
                <w:rFonts w:hint="default" w:ascii="Times New Roman" w:hAnsi="Times New Roman"/>
                <w:color w:val="auto"/>
                <w:szCs w:val="22"/>
                <w:lang w:eastAsia="zh-CN"/>
              </w:rPr>
              <w:t>高升降温速率：不小于</w:t>
            </w:r>
            <w:r>
              <w:rPr>
                <w:rFonts w:hint="default" w:ascii="Times New Roman" w:hAnsi="Times New Roman"/>
                <w:color w:val="auto"/>
                <w:szCs w:val="22"/>
                <w:lang w:val="en-US" w:eastAsia="zh-CN"/>
              </w:rPr>
              <w:t>4.5</w:t>
            </w:r>
            <w:r>
              <w:rPr>
                <w:rFonts w:hint="default" w:ascii="Times New Roman" w:hAnsi="Times New Roman"/>
                <w:color w:val="auto"/>
                <w:szCs w:val="22"/>
                <w:lang w:eastAsia="zh-CN"/>
              </w:rPr>
              <w:t>°C/秒</w:t>
            </w:r>
            <w:r>
              <w:rPr>
                <w:rFonts w:hint="default" w:ascii="Times New Roman" w:hAnsi="Times New Roman"/>
                <w:color w:val="auto"/>
                <w:szCs w:val="22"/>
                <w:lang w:val="en-US" w:eastAsia="zh-CN"/>
              </w:rPr>
              <w:t>,</w:t>
            </w:r>
            <w:r>
              <w:rPr>
                <w:rFonts w:hint="default" w:ascii="Times New Roman" w:hAnsi="Times New Roman"/>
                <w:color w:val="auto"/>
                <w:szCs w:val="22"/>
                <w:lang w:eastAsia="zh-CN"/>
              </w:rPr>
              <w:t>平均升降温速率</w:t>
            </w:r>
            <w:r>
              <w:rPr>
                <w:rFonts w:hint="default" w:ascii="Times New Roman" w:hAnsi="Times New Roman"/>
                <w:color w:val="auto"/>
                <w:szCs w:val="22"/>
                <w:lang w:val="en-US" w:eastAsia="zh-CN"/>
              </w:rPr>
              <w:t>≥</w:t>
            </w:r>
            <w:r>
              <w:rPr>
                <w:rFonts w:ascii="Times New Roman" w:hAnsi="Times New Roman"/>
                <w:color w:val="auto"/>
                <w:szCs w:val="22"/>
                <w:lang w:val="en-US" w:eastAsia="zh-CN"/>
              </w:rPr>
              <w:t>1.5</w:t>
            </w:r>
            <w:r>
              <w:rPr>
                <w:rFonts w:hint="default" w:ascii="Times New Roman" w:hAnsi="Times New Roman"/>
                <w:color w:val="auto"/>
                <w:szCs w:val="22"/>
                <w:lang w:val="en-US" w:eastAsia="zh-CN"/>
              </w:rPr>
              <w:t>°C</w:t>
            </w:r>
            <w:r>
              <w:rPr>
                <w:rFonts w:ascii="Times New Roman" w:hAnsi="Times New Roman"/>
                <w:color w:val="auto"/>
                <w:szCs w:val="22"/>
                <w:lang w:val="en-US" w:eastAsia="zh-CN"/>
              </w:rPr>
              <w:t>/</w:t>
            </w:r>
            <w:r>
              <w:rPr>
                <w:rFonts w:hint="default" w:ascii="Times New Roman" w:hAnsi="Times New Roman"/>
                <w:color w:val="auto"/>
                <w:szCs w:val="22"/>
                <w:lang w:val="en-US" w:eastAsia="zh-CN"/>
              </w:rPr>
              <w:t>秒</w:t>
            </w:r>
            <w:r>
              <w:rPr>
                <w:rFonts w:ascii="Times New Roman" w:hAnsi="Times New Roman"/>
                <w:color w:val="auto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/>
                <w:color w:val="auto"/>
                <w:szCs w:val="22"/>
                <w:lang w:eastAsia="zh-CN"/>
              </w:rPr>
              <w:t>。</w:t>
            </w:r>
            <w:r>
              <w:rPr>
                <w:rFonts w:ascii="Times New Roman" w:hAnsi="Times New Roman"/>
                <w:color w:val="auto"/>
                <w:lang w:eastAsia="zh-CN"/>
              </w:rPr>
              <w:t>30 ℃</w:t>
            </w:r>
            <w:r>
              <w:rPr>
                <w:rFonts w:hint="default" w:ascii="Times New Roman" w:hAnsi="Times New Roman"/>
                <w:color w:val="auto"/>
                <w:lang w:eastAsia="zh-CN"/>
              </w:rPr>
              <w:t>、</w:t>
            </w:r>
            <w:r>
              <w:rPr>
                <w:rFonts w:ascii="Times New Roman" w:hAnsi="Times New Roman"/>
                <w:color w:val="auto"/>
                <w:lang w:eastAsia="zh-CN"/>
              </w:rPr>
              <w:t>50 ℃</w:t>
            </w:r>
            <w:r>
              <w:rPr>
                <w:rFonts w:hint="default" w:ascii="Times New Roman" w:hAnsi="Times New Roman"/>
                <w:color w:val="auto"/>
                <w:lang w:eastAsia="zh-CN"/>
              </w:rPr>
              <w:t>、</w:t>
            </w:r>
            <w:r>
              <w:rPr>
                <w:rFonts w:ascii="Times New Roman" w:hAnsi="Times New Roman"/>
                <w:color w:val="auto"/>
                <w:lang w:eastAsia="zh-CN"/>
              </w:rPr>
              <w:t>60 ℃</w:t>
            </w:r>
            <w:r>
              <w:rPr>
                <w:rFonts w:hint="default" w:ascii="Times New Roman" w:hAnsi="Times New Roman"/>
                <w:color w:val="auto"/>
                <w:lang w:eastAsia="zh-CN"/>
              </w:rPr>
              <w:t>、</w:t>
            </w:r>
            <w:r>
              <w:rPr>
                <w:rFonts w:ascii="Times New Roman" w:hAnsi="Times New Roman"/>
                <w:color w:val="auto"/>
                <w:lang w:eastAsia="zh-CN"/>
              </w:rPr>
              <w:t>70 ℃</w:t>
            </w:r>
            <w:r>
              <w:rPr>
                <w:rFonts w:hint="default" w:ascii="Times New Roman" w:hAnsi="Times New Roman"/>
                <w:color w:val="auto"/>
                <w:lang w:eastAsia="zh-CN"/>
              </w:rPr>
              <w:t>、9</w:t>
            </w:r>
            <w:r>
              <w:rPr>
                <w:rFonts w:ascii="Times New Roman" w:hAnsi="Times New Roman"/>
                <w:color w:val="auto"/>
                <w:lang w:eastAsia="zh-CN"/>
              </w:rPr>
              <w:t>0℃</w:t>
            </w:r>
            <w:r>
              <w:rPr>
                <w:rFonts w:hint="default" w:ascii="Times New Roman" w:hAnsi="Times New Roman"/>
                <w:color w:val="auto"/>
                <w:lang w:eastAsia="zh-CN"/>
              </w:rPr>
              <w:t>、9</w:t>
            </w:r>
            <w:r>
              <w:rPr>
                <w:rFonts w:ascii="Times New Roman" w:hAnsi="Times New Roman"/>
                <w:color w:val="auto"/>
                <w:lang w:eastAsia="zh-CN"/>
              </w:rPr>
              <w:t>5℃</w:t>
            </w:r>
            <w:r>
              <w:rPr>
                <w:rFonts w:hint="default" w:ascii="Times New Roman" w:hAnsi="Times New Roman"/>
                <w:color w:val="auto"/>
                <w:lang w:eastAsia="zh-CN"/>
              </w:rPr>
              <w:t>时温度示值误差</w:t>
            </w:r>
            <m:oMath>
              <m:r>
                <m:rPr/>
                <w:rPr>
                  <w:rFonts w:ascii="Cambria Math" w:hAnsi="Cambria Math"/>
                  <w:color w:val="auto"/>
                  <w:lang w:eastAsia="zh-CN"/>
                </w:rPr>
                <m:t>≤</m:t>
              </m:r>
            </m:oMath>
            <w:r>
              <w:rPr>
                <w:rFonts w:ascii="Times New Roman" w:hAnsi="Times New Roman"/>
                <w:color w:val="auto"/>
                <w:lang w:eastAsia="zh-CN"/>
              </w:rPr>
              <w:t>0.5 ℃</w:t>
            </w:r>
            <w:r>
              <w:rPr>
                <w:rFonts w:hint="default" w:ascii="Times New Roman" w:hAnsi="Times New Roman"/>
                <w:color w:val="auto"/>
                <w:lang w:eastAsia="zh-CN"/>
              </w:rPr>
              <w:t>，温度均匀度</w:t>
            </w:r>
            <m:oMath>
              <m:r>
                <m:rPr/>
                <w:rPr>
                  <w:rFonts w:ascii="Cambria Math" w:hAnsi="Cambria Math"/>
                  <w:color w:val="auto"/>
                  <w:lang w:eastAsia="zh-CN"/>
                </w:rPr>
                <m:t>≤</m:t>
              </m:r>
            </m:oMath>
            <w:r>
              <w:rPr>
                <w:rFonts w:ascii="Times New Roman" w:hAnsi="Times New Roman"/>
                <w:color w:val="auto"/>
                <w:lang w:eastAsia="zh-CN"/>
              </w:rPr>
              <w:t>1.0℃</w:t>
            </w:r>
            <w:r>
              <w:rPr>
                <w:rFonts w:hint="default" w:ascii="Times New Roman" w:hAnsi="Times New Roman"/>
                <w:color w:val="auto"/>
                <w:lang w:eastAsia="zh-CN"/>
              </w:rPr>
              <w:t>，温度波动度</w:t>
            </w:r>
            <m:oMath>
              <m:r>
                <m:rPr/>
                <w:rPr>
                  <w:rFonts w:ascii="Cambria Math" w:hAnsi="Cambria Math"/>
                  <w:color w:val="auto"/>
                  <w:lang w:eastAsia="zh-CN"/>
                </w:rPr>
                <m:t>≤</m:t>
              </m:r>
            </m:oMath>
            <w:r>
              <w:rPr>
                <w:rFonts w:ascii="Times New Roman" w:hAnsi="Times New Roman"/>
                <w:color w:val="auto"/>
                <w:lang w:eastAsia="zh-CN"/>
              </w:rPr>
              <w:t>0.2 ℃</w:t>
            </w:r>
            <w:r>
              <w:rPr>
                <w:rFonts w:hint="default" w:ascii="Times New Roman" w:hAnsi="Times New Roman"/>
                <w:color w:val="auto"/>
                <w:lang w:eastAsia="zh-CN"/>
              </w:rPr>
              <w:t>，</w:t>
            </w:r>
            <w:r>
              <w:rPr>
                <w:rFonts w:hint="default" w:ascii="Times New Roman" w:hAnsi="Times New Roman"/>
                <w:color w:val="auto"/>
                <w:lang w:val="en-US" w:eastAsia="zh-CN"/>
              </w:rPr>
              <w:t>通道峰值强度一致性</w:t>
            </w:r>
            <w:r>
              <w:rPr>
                <w:rFonts w:ascii="Times New Roman" w:hAnsi="Times New Roman"/>
                <w:color w:val="auto"/>
                <w:lang w:val="en-US" w:eastAsia="zh-CN"/>
              </w:rPr>
              <w:t>1</w:t>
            </w:r>
            <w:r>
              <w:rPr>
                <w:rFonts w:hint="default" w:ascii="Times New Roman" w:hAnsi="Times New Roman"/>
                <w:color w:val="auto"/>
                <w:lang w:val="en-US" w:eastAsia="zh-CN"/>
              </w:rPr>
              <w:t>±</w:t>
            </w:r>
            <w:r>
              <w:rPr>
                <w:rFonts w:ascii="Times New Roman" w:hAnsi="Times New Roman"/>
                <w:color w:val="auto"/>
                <w:lang w:val="en-US" w:eastAsia="zh-CN"/>
              </w:rPr>
              <w:t xml:space="preserve">0.2 </w:t>
            </w:r>
            <w:r>
              <w:rPr>
                <w:rFonts w:hint="default" w:ascii="Times New Roman" w:hAnsi="Times New Roman"/>
                <w:color w:val="auto"/>
                <w:lang w:val="en-US" w:eastAsia="zh-CN"/>
              </w:rPr>
              <w:t>，线性灵敏系数</w:t>
            </w:r>
            <w:r>
              <w:rPr>
                <w:rFonts w:ascii="Times New Roman" w:hAnsi="Times New Roman"/>
                <w:color w:val="auto"/>
                <w:lang w:val="en-US" w:eastAsia="zh-CN"/>
              </w:rPr>
              <w:t>1</w:t>
            </w:r>
            <w:r>
              <w:rPr>
                <w:rFonts w:hint="default" w:ascii="Times New Roman" w:hAnsi="Times New Roman"/>
                <w:color w:val="auto"/>
                <w:lang w:val="en-US" w:eastAsia="zh-CN"/>
              </w:rPr>
              <w:t>±</w:t>
            </w:r>
            <w:r>
              <w:rPr>
                <w:rFonts w:ascii="Times New Roman" w:hAnsi="Times New Roman"/>
                <w:color w:val="auto"/>
                <w:lang w:val="en-US" w:eastAsia="zh-CN"/>
              </w:rPr>
              <w:t>0.2</w:t>
            </w:r>
            <w:r>
              <w:rPr>
                <w:rFonts w:hint="default" w:ascii="Times New Roman" w:hAnsi="Times New Roman"/>
                <w:color w:val="auto"/>
                <w:lang w:val="en-US" w:eastAsia="zh-CN"/>
              </w:rPr>
              <w:t>，熔解温度漂移±</w:t>
            </w:r>
            <w:r>
              <w:rPr>
                <w:rFonts w:ascii="Times New Roman" w:hAnsi="Times New Roman"/>
                <w:color w:val="auto"/>
                <w:lang w:val="en-US" w:eastAsia="zh-CN"/>
              </w:rPr>
              <w:t>1</w:t>
            </w:r>
            <w:r>
              <w:rPr>
                <w:rFonts w:hint="default" w:ascii="Times New Roman" w:hAnsi="Times New Roman"/>
                <w:color w:val="auto"/>
                <w:lang w:val="en-US" w:eastAsia="zh-CN"/>
              </w:rPr>
              <w:t>°C ，熔解温度比</w:t>
            </w:r>
            <w:r>
              <w:rPr>
                <w:rFonts w:ascii="Times New Roman" w:hAnsi="Times New Roman"/>
                <w:color w:val="auto"/>
                <w:lang w:val="en-US" w:eastAsia="zh-CN"/>
              </w:rPr>
              <w:t>1</w:t>
            </w:r>
            <w:r>
              <w:rPr>
                <w:rFonts w:hint="default" w:ascii="Times New Roman" w:hAnsi="Times New Roman"/>
                <w:color w:val="auto"/>
                <w:lang w:val="en-US" w:eastAsia="zh-CN"/>
              </w:rPr>
              <w:t>±</w:t>
            </w:r>
            <w:r>
              <w:rPr>
                <w:rFonts w:ascii="Times New Roman" w:hAnsi="Times New Roman"/>
                <w:color w:val="auto"/>
                <w:lang w:val="en-US" w:eastAsia="zh-CN"/>
              </w:rPr>
              <w:t>0.2</w:t>
            </w:r>
            <w:r>
              <w:rPr>
                <w:rFonts w:hint="default" w:ascii="Times New Roman" w:hAnsi="Times New Roman"/>
                <w:color w:val="auto"/>
                <w:lang w:val="en-US" w:eastAsia="zh-CN"/>
              </w:rPr>
              <w:t>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rPr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eastAsia="zh-CN"/>
              </w:rPr>
              <w:t>能在单次反应中同时区分VIC和TAMRA荧光，试剂耗材开放，可使用国内外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80%以上的市场化试剂盒及透明耗材。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rPr>
                <w:rFonts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装机指标：有效区分</w:t>
            </w:r>
            <w:r>
              <w:rPr>
                <w:rFonts w:ascii="宋体" w:hAnsi="宋体"/>
                <w:lang w:eastAsia="zh-CN"/>
              </w:rPr>
              <w:t>5000</w:t>
            </w:r>
            <w:r>
              <w:rPr>
                <w:rFonts w:hint="eastAsia" w:ascii="宋体" w:hAnsi="宋体"/>
                <w:lang w:eastAsia="zh-CN"/>
              </w:rPr>
              <w:t>和</w:t>
            </w:r>
            <w:r>
              <w:rPr>
                <w:rFonts w:ascii="宋体" w:hAnsi="宋体"/>
                <w:lang w:eastAsia="zh-CN"/>
              </w:rPr>
              <w:t>10000</w:t>
            </w:r>
            <w:r>
              <w:rPr>
                <w:rFonts w:hint="eastAsia" w:ascii="宋体" w:hAnsi="宋体"/>
                <w:lang w:eastAsia="zh-CN"/>
              </w:rPr>
              <w:t>拷贝的模板，置信度为</w:t>
            </w:r>
            <w:r>
              <w:rPr>
                <w:rFonts w:ascii="宋体" w:hAnsi="宋体"/>
                <w:lang w:eastAsia="zh-CN"/>
              </w:rPr>
              <w:t>99.7%</w:t>
            </w:r>
            <w:r>
              <w:rPr>
                <w:rFonts w:hint="eastAsia" w:ascii="宋体" w:hAnsi="宋体"/>
                <w:lang w:eastAsia="zh-CN"/>
              </w:rPr>
              <w:t>；</w:t>
            </w:r>
          </w:p>
          <w:p>
            <w:pPr>
              <w:rPr>
                <w:rFonts w:ascii="宋体"/>
                <w:lang w:eastAsia="zh-CN"/>
              </w:rPr>
            </w:pPr>
            <w:r>
              <w:rPr>
                <w:rFonts w:hint="eastAsia" w:ascii="宋体" w:hAnsi="宋体"/>
                <w:szCs w:val="22"/>
                <w:lang w:eastAsia="zh-CN"/>
              </w:rPr>
              <w:t>可提供三种以上操作平台：单机操作、连接电脑操作及云服务平台操作。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rPr>
                <w:rFonts w:asci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支持内参比荧光</w:t>
            </w:r>
            <w:r>
              <w:rPr>
                <w:rFonts w:ascii="宋体" w:hAnsi="宋体"/>
                <w:lang w:eastAsia="zh-CN"/>
              </w:rPr>
              <w:t>ROX</w:t>
            </w:r>
            <w:r>
              <w:rPr>
                <w:rFonts w:hint="eastAsia" w:ascii="宋体" w:hAnsi="宋体"/>
                <w:lang w:eastAsia="zh-CN"/>
              </w:rPr>
              <w:t>校正加样误差和管间差异，</w:t>
            </w:r>
            <w:r>
              <w:rPr>
                <w:rFonts w:hint="eastAsia" w:ascii="宋体" w:hAnsi="宋体"/>
                <w:szCs w:val="22"/>
                <w:lang w:eastAsia="zh-CN"/>
              </w:rPr>
              <w:t>主机自带触摸屏，内置电脑含存储空间：≥10Gb。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rFonts w:asci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温度范围：</w:t>
            </w:r>
            <w:r>
              <w:rPr>
                <w:rFonts w:ascii="宋体" w:hAnsi="宋体"/>
                <w:lang w:eastAsia="zh-CN"/>
              </w:rPr>
              <w:t>4</w:t>
            </w:r>
            <w:r>
              <w:rPr>
                <w:rFonts w:hint="eastAsia" w:ascii="宋体" w:hAnsi="宋体"/>
                <w:lang w:eastAsia="zh-CN"/>
              </w:rPr>
              <w:t>°</w:t>
            </w:r>
            <w:r>
              <w:rPr>
                <w:rFonts w:ascii="宋体" w:hAnsi="宋体"/>
                <w:lang w:eastAsia="zh-CN"/>
              </w:rPr>
              <w:t>C–100</w:t>
            </w:r>
            <w:r>
              <w:rPr>
                <w:rFonts w:hint="eastAsia" w:ascii="宋体" w:hAnsi="宋体"/>
                <w:lang w:eastAsia="zh-CN"/>
              </w:rPr>
              <w:t>°</w:t>
            </w:r>
            <w:r>
              <w:rPr>
                <w:rFonts w:ascii="宋体" w:hAnsi="宋体"/>
                <w:lang w:eastAsia="zh-CN"/>
              </w:rPr>
              <w:t>C</w:t>
            </w:r>
            <w:r>
              <w:rPr>
                <w:rFonts w:hint="eastAsia" w:ascii="宋体" w:hAnsi="宋体"/>
                <w:lang w:eastAsia="zh-CN"/>
              </w:rPr>
              <w:t>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rFonts w:hint="eastAsia" w:ascii="Times New Roman" w:hAnsi="Times New Roman" w:eastAsia="宋体" w:cs="Times New Roman"/>
                <w:color w:val="auto"/>
                <w:sz w:val="21"/>
                <w:lang w:val="en-GB" w:eastAsia="zh-CN" w:bidi="ar-SA"/>
              </w:rPr>
            </w:pPr>
            <w:r>
              <w:rPr>
                <w:rFonts w:hint="default" w:ascii="Times New Roman" w:hAnsi="Times New Roman"/>
                <w:color w:val="auto"/>
                <w:lang w:eastAsia="zh-CN"/>
              </w:rPr>
              <w:t>支持HRM应用</w:t>
            </w:r>
            <w:r>
              <w:rPr>
                <w:rFonts w:hint="eastAsia"/>
                <w:color w:val="auto"/>
                <w:lang w:eastAsia="zh-CN"/>
              </w:rPr>
              <w:t>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rFonts w:hint="eastAsia" w:ascii="Times New Roman" w:hAnsi="Times New Roman" w:eastAsia="宋体" w:cs="Times New Roman"/>
                <w:color w:val="auto"/>
                <w:sz w:val="21"/>
                <w:lang w:val="en-GB" w:eastAsia="zh-CN" w:bidi="ar-SA"/>
              </w:rPr>
            </w:pPr>
            <w:r>
              <w:rPr>
                <w:rFonts w:hint="default" w:ascii="Times New Roman" w:hAnsi="Times New Roman"/>
                <w:color w:val="auto"/>
                <w:lang w:eastAsia="zh-CN"/>
              </w:rPr>
              <w:t>同时采集荧光信号，孔与孔之间没有时间差。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rFonts w:hint="eastAsia" w:ascii="Times New Roman" w:hAnsi="Times New Roman" w:eastAsia="宋体" w:cs="Times New Roman"/>
                <w:color w:val="auto"/>
                <w:sz w:val="21"/>
                <w:lang w:val="en-GB" w:eastAsia="zh-CN" w:bidi="ar-SA"/>
              </w:rPr>
            </w:pPr>
            <w:r>
              <w:rPr>
                <w:color w:val="auto"/>
                <w:lang w:eastAsia="zh-CN"/>
              </w:rPr>
              <w:t>样本检测的重复性高，对高浓度和低浓度核酸样本分别进行重复性检测，CV 值＜ 3%。</w:t>
            </w:r>
            <w:r>
              <w:rPr>
                <w:rFonts w:hint="default" w:ascii="Times New Roman" w:hAnsi="Times New Roman"/>
                <w:color w:val="auto"/>
                <w:lang w:val="en-US" w:eastAsia="zh-CN"/>
              </w:rPr>
              <w:t>阈值循环数示值误差</w:t>
            </w:r>
            <m:oMath>
              <m:r>
                <m:rPr/>
                <w:rPr>
                  <w:rFonts w:ascii="Cambria Math" w:hAnsi="Cambria Math"/>
                  <w:color w:val="auto"/>
                  <w:lang w:eastAsia="zh-CN"/>
                </w:rPr>
                <m:t>≤</m:t>
              </m:r>
            </m:oMath>
            <w:r>
              <w:rPr>
                <w:rFonts w:hint="default" w:ascii="Times New Roman" w:hAnsi="Times New Roman"/>
                <w:iCs/>
                <w:color w:val="auto"/>
                <w:lang w:eastAsia="zh-CN"/>
              </w:rPr>
              <w:t>2</w:t>
            </w:r>
            <w:r>
              <w:rPr>
                <w:rFonts w:ascii="Times New Roman" w:hAnsi="Times New Roman"/>
                <w:iCs/>
                <w:color w:val="auto"/>
                <w:lang w:eastAsia="zh-CN"/>
              </w:rPr>
              <w:t>.5</w:t>
            </w:r>
            <w:r>
              <w:rPr>
                <w:rFonts w:hint="default" w:ascii="Times New Roman" w:hAnsi="Times New Roman"/>
                <w:iCs/>
                <w:color w:val="auto"/>
                <w:lang w:eastAsia="zh-CN"/>
              </w:rPr>
              <w:t>，阈值循环数均匀度</w:t>
            </w:r>
            <m:oMath>
              <m:r>
                <m:rPr/>
                <w:rPr>
                  <w:rFonts w:ascii="Cambria Math" w:hAnsi="Cambria Math"/>
                  <w:color w:val="auto"/>
                  <w:lang w:eastAsia="zh-CN"/>
                </w:rPr>
                <m:t>≤</m:t>
              </m:r>
            </m:oMath>
            <w:r>
              <w:rPr>
                <w:rFonts w:ascii="Times New Roman" w:hAnsi="Times New Roman"/>
                <w:iCs/>
                <w:color w:val="auto"/>
                <w:lang w:eastAsia="zh-CN"/>
              </w:rPr>
              <w:t>5</w:t>
            </w:r>
            <w:r>
              <w:rPr>
                <w:rFonts w:hint="default" w:ascii="Times New Roman" w:hAnsi="Times New Roman"/>
                <w:iCs/>
                <w:color w:val="auto"/>
                <w:lang w:eastAsia="zh-CN"/>
              </w:rPr>
              <w:t>，阈值循环数精密度</w:t>
            </w:r>
            <m:oMath>
              <m:r>
                <m:rPr/>
                <w:rPr>
                  <w:rFonts w:ascii="Cambria Math" w:hAnsi="Cambria Math"/>
                  <w:color w:val="auto"/>
                  <w:lang w:eastAsia="zh-CN"/>
                </w:rPr>
                <m:t>≤</m:t>
              </m:r>
            </m:oMath>
            <w:r>
              <w:rPr>
                <w:rFonts w:ascii="Times New Roman" w:hAnsi="Times New Roman"/>
                <w:iCs/>
                <w:color w:val="auto"/>
                <w:lang w:eastAsia="zh-CN"/>
              </w:rPr>
              <w:t>10</w:t>
            </w:r>
            <w:r>
              <w:rPr>
                <w:rFonts w:hint="default" w:ascii="Times New Roman" w:hAnsi="Times New Roman"/>
                <w:iCs/>
                <w:color w:val="auto"/>
                <w:lang w:eastAsia="zh-CN"/>
              </w:rPr>
              <w:t>。</w:t>
            </w:r>
            <w:r>
              <w:rPr>
                <w:rFonts w:hint="default" w:ascii="Times New Roman" w:hAnsi="Times New Roman"/>
                <w:color w:val="auto"/>
                <w:lang w:eastAsia="zh-CN"/>
              </w:rPr>
              <w:t>样本示值误差</w:t>
            </w:r>
            <m:oMath>
              <m:r>
                <m:rPr/>
                <w:rPr>
                  <w:rFonts w:ascii="Cambria Math" w:hAnsi="Cambria Math"/>
                  <w:color w:val="auto"/>
                  <w:lang w:eastAsia="zh-CN"/>
                </w:rPr>
                <m:t>≤</m:t>
              </m:r>
            </m:oMath>
            <w:r>
              <w:rPr>
                <w:rFonts w:ascii="Times New Roman" w:hAnsi="Times New Roman"/>
                <w:color w:val="auto"/>
                <w:lang w:eastAsia="zh-CN"/>
              </w:rPr>
              <w:t>15%</w:t>
            </w:r>
            <w:r>
              <w:rPr>
                <w:rFonts w:hint="default" w:ascii="Times New Roman" w:hAnsi="Times New Roman"/>
                <w:color w:val="auto"/>
                <w:lang w:eastAsia="zh-CN"/>
              </w:rPr>
              <w:t>，样本线性相关系数</w:t>
            </w:r>
            <w:r>
              <w:rPr>
                <w:rFonts w:hint="default" w:ascii="Times New Roman" w:hAnsi="Times New Roman"/>
                <w:color w:val="auto"/>
                <w:lang w:val="en-US" w:eastAsia="zh-CN"/>
              </w:rPr>
              <w:t>≥</w:t>
            </w:r>
            <w:r>
              <w:rPr>
                <w:rFonts w:ascii="Times New Roman" w:hAnsi="Times New Roman"/>
                <w:color w:val="auto"/>
                <w:lang w:val="en-US" w:eastAsia="zh-CN"/>
              </w:rPr>
              <w:t>0.980</w:t>
            </w:r>
            <w:r>
              <w:rPr>
                <w:rFonts w:hint="default" w:ascii="Times New Roman" w:hAnsi="Times New Roman"/>
                <w:color w:val="auto"/>
                <w:lang w:val="en-US" w:eastAsia="zh-CN"/>
              </w:rPr>
              <w:t>。</w:t>
            </w:r>
            <w:r>
              <w:rPr>
                <w:rFonts w:ascii="Times New Roman" w:hAnsi="Times New Roman"/>
                <w:color w:val="auto"/>
                <w:lang w:val="en-US" w:eastAsia="zh-CN"/>
              </w:rPr>
              <w:t xml:space="preserve"> 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3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其他运行要求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rFonts w:ascii="宋体" w:cs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包括保准运行模式和快速运行模式，标准模式定量</w:t>
            </w:r>
            <w:r>
              <w:rPr>
                <w:szCs w:val="21"/>
                <w:lang w:val="en-US" w:eastAsia="zh-CN"/>
              </w:rPr>
              <w:t>PCR</w:t>
            </w:r>
            <w:r>
              <w:rPr>
                <w:rFonts w:hint="eastAsia"/>
                <w:szCs w:val="21"/>
                <w:lang w:val="en-US" w:eastAsia="zh-CN"/>
              </w:rPr>
              <w:t>运行时间</w:t>
            </w:r>
            <w:r>
              <w:rPr>
                <w:szCs w:val="21"/>
                <w:lang w:val="en-US" w:eastAsia="zh-CN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小时，样品管型为</w:t>
            </w:r>
            <w:r>
              <w:rPr>
                <w:szCs w:val="21"/>
                <w:lang w:val="en-US" w:eastAsia="zh-CN"/>
              </w:rPr>
              <w:t>96</w:t>
            </w:r>
            <w:r>
              <w:rPr>
                <w:rFonts w:hint="eastAsia"/>
                <w:szCs w:val="21"/>
                <w:lang w:val="en-US" w:eastAsia="zh-CN"/>
              </w:rPr>
              <w:t>孔板或</w:t>
            </w:r>
            <w:r>
              <w:rPr>
                <w:szCs w:val="21"/>
                <w:lang w:val="en-US" w:eastAsia="zh-CN"/>
              </w:rPr>
              <w:t>0.2ml</w:t>
            </w:r>
            <w:r>
              <w:rPr>
                <w:rFonts w:hint="eastAsia"/>
                <w:szCs w:val="21"/>
                <w:lang w:val="en-US" w:eastAsia="zh-CN"/>
              </w:rPr>
              <w:t>单管，反应体积</w:t>
            </w:r>
            <w:r>
              <w:rPr>
                <w:szCs w:val="21"/>
                <w:lang w:val="en-US" w:eastAsia="zh-CN"/>
              </w:rPr>
              <w:t>25-100ul</w:t>
            </w:r>
            <w:r>
              <w:rPr>
                <w:rFonts w:hint="eastAsia"/>
                <w:szCs w:val="21"/>
                <w:lang w:val="en-US" w:eastAsia="zh-CN"/>
              </w:rPr>
              <w:t>；快速运行模式</w:t>
            </w:r>
            <w:r>
              <w:rPr>
                <w:rFonts w:ascii="宋体" w:hAnsi="宋体" w:cs="宋体"/>
                <w:szCs w:val="21"/>
                <w:lang w:val="en-US" w:eastAsia="zh-CN"/>
              </w:rPr>
              <w:t>&lt;40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分钟，</w:t>
            </w:r>
            <w:r>
              <w:rPr>
                <w:rFonts w:hint="eastAsia"/>
                <w:szCs w:val="21"/>
                <w:lang w:val="en-US" w:eastAsia="zh-CN"/>
              </w:rPr>
              <w:t>样品管型为</w:t>
            </w:r>
            <w:r>
              <w:rPr>
                <w:szCs w:val="21"/>
                <w:lang w:val="en-US" w:eastAsia="zh-CN"/>
              </w:rPr>
              <w:t>96</w:t>
            </w:r>
            <w:r>
              <w:rPr>
                <w:rFonts w:hint="eastAsia"/>
                <w:szCs w:val="21"/>
                <w:lang w:val="en-US" w:eastAsia="zh-CN"/>
              </w:rPr>
              <w:t>孔板，反应体积</w:t>
            </w:r>
            <w:r>
              <w:rPr>
                <w:szCs w:val="21"/>
                <w:lang w:val="en-US" w:eastAsia="zh-CN"/>
              </w:rPr>
              <w:t>5-30ul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</w:tbl>
    <w:p>
      <w:pPr>
        <w:pStyle w:val="44"/>
        <w:spacing w:after="158" w:afterLines="50"/>
        <w:ind w:left="-424" w:leftChars="-202" w:firstLine="0" w:firstLineChars="0"/>
        <w:outlineLvl w:val="0"/>
        <w:rPr>
          <w:rFonts w:ascii="Times New Roman" w:hAnsi="Times New Roman"/>
          <w:b/>
        </w:rPr>
      </w:pPr>
      <w:bookmarkStart w:id="12" w:name="_Toc522716122"/>
      <w:bookmarkStart w:id="13" w:name="_Toc522107742"/>
      <w:bookmarkStart w:id="14" w:name="_Toc482360291"/>
      <w:bookmarkStart w:id="15" w:name="_Toc482717202"/>
      <w:bookmarkStart w:id="16" w:name="_Toc482359946"/>
      <w:bookmarkStart w:id="17" w:name="_Toc482370359"/>
      <w:bookmarkStart w:id="18" w:name="_Toc482625289"/>
      <w:bookmarkStart w:id="19" w:name="_Toc483227237"/>
      <w:bookmarkStart w:id="20" w:name="_Toc482370767"/>
      <w:bookmarkStart w:id="21" w:name="_Toc481702480"/>
      <w:bookmarkStart w:id="22" w:name="_Toc482370151"/>
      <w:bookmarkStart w:id="23" w:name="_Toc482369815"/>
      <w:bookmarkStart w:id="24" w:name="_Toc483400317"/>
      <w:bookmarkStart w:id="25" w:name="_Toc482370071"/>
    </w:p>
    <w:p>
      <w:pPr>
        <w:pStyle w:val="44"/>
        <w:numPr>
          <w:ilvl w:val="0"/>
          <w:numId w:val="3"/>
        </w:numPr>
        <w:spacing w:after="158" w:afterLines="50"/>
        <w:ind w:left="426" w:hanging="426" w:hangingChars="202"/>
        <w:outlineLvl w:val="0"/>
        <w:rPr>
          <w:rFonts w:ascii="Times New Roman" w:hAnsi="Times New Roman"/>
          <w:b/>
        </w:rPr>
      </w:pPr>
      <w:r>
        <w:rPr>
          <w:rFonts w:hint="eastAsia" w:ascii="Times New Roman" w:hAnsi="Times New Roman"/>
          <w:b/>
        </w:rPr>
        <w:t>电气、自动控制要求</w:t>
      </w:r>
      <w:bookmarkEnd w:id="12"/>
    </w:p>
    <w:tbl>
      <w:tblPr>
        <w:tblStyle w:val="19"/>
        <w:tblW w:w="10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7128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编号</w:t>
            </w:r>
          </w:p>
        </w:tc>
        <w:tc>
          <w:tcPr>
            <w:tcW w:w="7128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jc w:val="center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自动控制要求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应有接入局域网的能力以及对实验室数据信息管理系统兼容性。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jc w:val="center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计算机化系统要求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仪器软件具有密码管理的功能。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系统时间应同步，与标准时间偏差≤5</w:t>
            </w:r>
            <w:r>
              <w:rPr>
                <w:iCs/>
                <w:szCs w:val="21"/>
                <w:lang w:eastAsia="zh-CN"/>
              </w:rPr>
              <w:t>s/24h</w:t>
            </w:r>
            <w:r>
              <w:rPr>
                <w:rFonts w:hint="eastAsia"/>
                <w:iCs/>
                <w:szCs w:val="21"/>
                <w:lang w:eastAsia="zh-CN"/>
              </w:rPr>
              <w:t>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仪器软件每级权限应可以设置多个用户，并有用户分级管理功能，每个等级拥有相应的可设置权限。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系统应可以为每个用户创建唯一的用户名和密码。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系统应不允许两个或多个用户拥有相同的用户名。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屏幕显示的结果、存储的电子记录内容与打印报告应是一致的。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用户在密码输入时，电脑显示器上应不显示实际密码（比如密码会以*或其他符合显示）。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系统管理员应可以重置密码，用户可修改自己的密码。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系统应可以设置密码最小长度为8位。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应有安全保护以防止未授权的用户账号和密码进行使用，比如5次无效登录尝试后将锁定账户等。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系统管理员应可以激活锁住的账户。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系统必须具有超时强制退出要求重新登录的功能。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系统应可以允许用户和管理员更改自己的密码。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系统应可设置密码效期，如3个月。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系统应可提示密码效期信息以提醒用户更改密码。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系统应有审计追踪功能，可以记录关键操作、系统和安全的事件，比如登录登出、密码更改、方法参数更改、权限配置、系统设置、记录删除与修改，以及相应操作人员、日期时间、操作描述、操作原因等。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审计追踪记录应自动存储且不可被删除或更改，可查询、输出、备份恢复、打印。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系统应可以新增、修改和禁用账户，这些权限应可被系统管理员禁用。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应有控制措施以防止电子记录从应用软件外面被修改或删除。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报告格式应包含以下内容：日期，名称，运行时间，产品名称，产品批号，数据/曲线，审计追踪记录，报警记录，运行号等。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使用者应不能修改测试结果。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系统断电恢复不影响系统及参数设置、数据完整性，恢复后系统可正常运行。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供应商提供系统及程序备份盘及备份恢复说明。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供应商提供备份数据读取策略，必要时提供相关程序。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系统程序软件必须为正版。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若有操作系统，则操作系统必须为正版，若操作系统为Windows，必须为专业版以上版本。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</w:tbl>
    <w:p>
      <w:pPr>
        <w:spacing w:after="158" w:afterLines="50"/>
        <w:rPr>
          <w:b/>
          <w:lang w:eastAsia="zh-CN"/>
        </w:rPr>
      </w:pPr>
    </w:p>
    <w:p>
      <w:pPr>
        <w:pStyle w:val="44"/>
        <w:numPr>
          <w:ilvl w:val="0"/>
          <w:numId w:val="3"/>
        </w:numPr>
        <w:spacing w:after="158" w:afterLines="50"/>
        <w:ind w:left="426" w:hanging="426" w:hangingChars="202"/>
        <w:outlineLvl w:val="0"/>
        <w:rPr>
          <w:rFonts w:ascii="Times New Roman" w:hAnsi="Times New Roman"/>
          <w:b/>
        </w:rPr>
      </w:pPr>
      <w:bookmarkStart w:id="26" w:name="_Toc522716123"/>
      <w:r>
        <w:rPr>
          <w:rFonts w:hint="eastAsia" w:ascii="Times New Roman" w:hAnsi="Times New Roman"/>
          <w:b/>
        </w:rPr>
        <w:t>安全要求</w:t>
      </w:r>
      <w:bookmarkEnd w:id="13"/>
      <w:bookmarkEnd w:id="26"/>
    </w:p>
    <w:tbl>
      <w:tblPr>
        <w:tblStyle w:val="19"/>
        <w:tblW w:w="10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7128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编号</w:t>
            </w:r>
          </w:p>
        </w:tc>
        <w:tc>
          <w:tcPr>
            <w:tcW w:w="7128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</w:p>
        </w:tc>
        <w:tc>
          <w:tcPr>
            <w:tcW w:w="7128" w:type="dxa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电气保护</w:t>
            </w:r>
          </w:p>
        </w:tc>
        <w:tc>
          <w:tcPr>
            <w:tcW w:w="2125" w:type="dxa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气安全应符合G</w:t>
            </w:r>
            <w:r>
              <w:rPr>
                <w:szCs w:val="21"/>
                <w:lang w:eastAsia="zh-CN"/>
              </w:rPr>
              <w:t>B4793.1</w:t>
            </w:r>
            <w:r>
              <w:rPr>
                <w:rFonts w:hint="eastAsia"/>
                <w:szCs w:val="21"/>
                <w:lang w:eastAsia="zh-CN"/>
              </w:rPr>
              <w:t>和4793.4的要求。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</w:tbl>
    <w:p>
      <w:pPr>
        <w:rPr>
          <w:szCs w:val="21"/>
          <w:lang w:eastAsia="zh-CN"/>
        </w:rPr>
      </w:pPr>
    </w:p>
    <w:p>
      <w:pPr>
        <w:pStyle w:val="44"/>
        <w:numPr>
          <w:ilvl w:val="0"/>
          <w:numId w:val="3"/>
        </w:numPr>
        <w:spacing w:after="158" w:afterLines="50"/>
        <w:ind w:left="426" w:hanging="426" w:hangingChars="202"/>
        <w:outlineLvl w:val="0"/>
        <w:rPr>
          <w:rFonts w:ascii="Times New Roman" w:hAnsi="Times New Roman"/>
          <w:b/>
        </w:rPr>
      </w:pPr>
      <w:bookmarkStart w:id="27" w:name="_Toc522107743"/>
      <w:bookmarkStart w:id="28" w:name="_Toc522716124"/>
      <w:r>
        <w:rPr>
          <w:rFonts w:hint="eastAsia" w:ascii="Times New Roman" w:hAnsi="Times New Roman"/>
          <w:b/>
        </w:rPr>
        <w:t>文件要求</w:t>
      </w:r>
      <w:bookmarkEnd w:id="27"/>
      <w:bookmarkEnd w:id="28"/>
    </w:p>
    <w:tbl>
      <w:tblPr>
        <w:tblStyle w:val="19"/>
        <w:tblW w:w="10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7128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编号</w:t>
            </w:r>
          </w:p>
        </w:tc>
        <w:tc>
          <w:tcPr>
            <w:tcW w:w="7128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整机（包括计算机化系统）运行及维护手册应为中文，纸质文件至少一式三份，</w:t>
            </w:r>
            <w:r>
              <w:rPr>
                <w:rFonts w:hint="eastAsia" w:hAnsi="宋体"/>
                <w:sz w:val="24"/>
                <w:u w:color="333333"/>
                <w:lang w:eastAsia="zh-CN"/>
              </w:rPr>
              <w:t>电子版</w:t>
            </w:r>
            <w:r>
              <w:rPr>
                <w:rFonts w:hint="eastAsia"/>
                <w:szCs w:val="21"/>
                <w:lang w:eastAsia="zh-CN"/>
              </w:rPr>
              <w:t>至少一份。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投标文件、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原厂或者中国区总代理授权书，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合同、订单及</w:t>
            </w:r>
            <w:r>
              <w:rPr>
                <w:rFonts w:hint="eastAsia" w:ascii="宋体" w:hAnsi="宋体" w:cs="宋体"/>
                <w:szCs w:val="21"/>
                <w:u w:color="333333"/>
                <w:lang w:val="zh-TW" w:eastAsia="zh-CN"/>
              </w:rPr>
              <w:t>设备交付计划表。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生产商发运清单及所有单元配件及其组合的检验报告和证书标识等。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设计选型文件：配置清单与说明。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图纸：实物图；各种验证、维修等活动所需的电子版及打印版设备尺寸图、设备局部图（与功能相关的细节图）、安装图；提供设备及其零部件使用寿命清单。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组件清单、易损件清单、备件、消耗品清单：包括名称、编号、对应厂家名称、生产地、规格、使用寿命及必要说明。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设备操作手册（</w:t>
            </w:r>
            <w:r>
              <w:rPr>
                <w:szCs w:val="21"/>
                <w:u w:color="333333"/>
                <w:lang w:eastAsia="zh-CN"/>
              </w:rPr>
              <w:t>SOP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）：语言为中文，应说明设备维护内容、校准周期，并能提供校准服务。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eastAsia="zh-CN"/>
              </w:rPr>
              <w:t>有资质的第三方检测机构出具的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首次校验报告及计量证书</w:t>
            </w:r>
            <w:r>
              <w:rPr>
                <w:rFonts w:hint="eastAsia" w:hAnsi="宋体"/>
                <w:szCs w:val="21"/>
                <w:u w:color="333333"/>
                <w:lang w:eastAsia="zh-CN"/>
              </w:rPr>
              <w:t>，设备到厂验收时有效期不得少于</w:t>
            </w:r>
            <w:r>
              <w:rPr>
                <w:rFonts w:hAnsi="宋体"/>
                <w:szCs w:val="21"/>
                <w:u w:color="333333"/>
                <w:lang w:eastAsia="zh-CN"/>
              </w:rPr>
              <w:t>6</w:t>
            </w:r>
            <w:r>
              <w:rPr>
                <w:rFonts w:hint="eastAsia" w:hAnsi="宋体"/>
                <w:szCs w:val="21"/>
                <w:u w:color="333333"/>
                <w:lang w:eastAsia="zh-CN"/>
              </w:rPr>
              <w:t>个月。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hAnsi="宋体"/>
                <w:szCs w:val="21"/>
                <w:u w:color="333333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TW"/>
              </w:rPr>
              <w:t>安全报告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hAnsi="宋体"/>
                <w:szCs w:val="21"/>
                <w:u w:color="333333"/>
                <w:lang w:val="zh-TW"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设备厂家文件：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出厂测试合格证、说明书、</w:t>
            </w:r>
            <w:r>
              <w:rPr>
                <w:rFonts w:hint="eastAsia" w:ascii="宋体" w:hAnsi="宋体"/>
                <w:szCs w:val="21"/>
                <w:lang w:eastAsia="zh-CN"/>
              </w:rPr>
              <w:t>相关检测报告、各种标示。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hAnsi="宋体"/>
                <w:szCs w:val="21"/>
                <w:u w:color="333333"/>
                <w:lang w:val="zh-TW"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调试文件：调试计划（调试说明、调试清单、现场验收测试、保修信息、培训计划等），总测试计划，检查计划，检测清单，各测试结果，调试总结报告等。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val="zh-TW" w:eastAsia="zh-CN"/>
              </w:rPr>
            </w:pPr>
            <w:r>
              <w:rPr>
                <w:szCs w:val="21"/>
                <w:lang w:eastAsia="zh-CN"/>
              </w:rPr>
              <w:t>验证文件</w:t>
            </w:r>
            <w:r>
              <w:rPr>
                <w:rFonts w:hint="eastAsia"/>
                <w:szCs w:val="21"/>
                <w:lang w:eastAsia="zh-CN"/>
              </w:rPr>
              <w:t>：满足</w:t>
            </w:r>
            <w:r>
              <w:rPr>
                <w:szCs w:val="21"/>
                <w:lang w:eastAsia="zh-CN"/>
              </w:rPr>
              <w:t>GMP</w:t>
            </w:r>
            <w:r>
              <w:rPr>
                <w:rFonts w:hint="eastAsia"/>
                <w:szCs w:val="21"/>
                <w:lang w:eastAsia="zh-CN"/>
              </w:rPr>
              <w:t>，需要做</w:t>
            </w:r>
            <w:r>
              <w:rPr>
                <w:rFonts w:hint="eastAsia"/>
                <w:szCs w:val="21"/>
                <w:lang w:val="en-US" w:eastAsia="zh-CN"/>
              </w:rPr>
              <w:t>3Q验证，并出具3Q（安装，运行，性能）验证证书。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val="zh-TW" w:eastAsia="zh-CN"/>
              </w:rPr>
            </w:pPr>
            <w:r>
              <w:rPr>
                <w:szCs w:val="21"/>
                <w:lang w:eastAsia="zh-CN"/>
              </w:rPr>
              <w:t>验证文件：</w:t>
            </w:r>
            <w:r>
              <w:rPr>
                <w:rFonts w:hint="eastAsia"/>
                <w:szCs w:val="21"/>
                <w:lang w:eastAsia="zh-CN"/>
              </w:rPr>
              <w:t>验证计划、验证总结报告（</w:t>
            </w:r>
            <w:r>
              <w:rPr>
                <w:szCs w:val="21"/>
                <w:lang w:eastAsia="zh-CN"/>
              </w:rPr>
              <w:t>VSR</w:t>
            </w:r>
            <w:r>
              <w:rPr>
                <w:rFonts w:hint="eastAsia"/>
                <w:szCs w:val="21"/>
                <w:lang w:eastAsia="zh-CN"/>
              </w:rPr>
              <w:t>）。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期望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现场验收报告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rPr>
                <w:szCs w:val="21"/>
                <w:u w:color="333333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TW"/>
              </w:rPr>
              <w:t>文件具体要求：</w:t>
            </w:r>
          </w:p>
          <w:p>
            <w:pPr>
              <w:rPr>
                <w:szCs w:val="21"/>
                <w:u w:color="333333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（</w:t>
            </w:r>
            <w:r>
              <w:rPr>
                <w:szCs w:val="21"/>
                <w:u w:color="333333"/>
                <w:lang w:eastAsia="zh-CN"/>
              </w:rPr>
              <w:t>1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）系统相关方案中，应明确本系统的配置、规格，并且通过分析阐述每一个系统环节的必要性；</w:t>
            </w:r>
          </w:p>
          <w:p>
            <w:pPr>
              <w:rPr>
                <w:rFonts w:hAnsi="宋体"/>
                <w:szCs w:val="21"/>
                <w:u w:color="333333"/>
                <w:lang w:val="zh-TW"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（</w:t>
            </w:r>
            <w:r>
              <w:rPr>
                <w:szCs w:val="21"/>
                <w:u w:color="333333"/>
                <w:lang w:eastAsia="zh-CN"/>
              </w:rPr>
              <w:t>2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）标书中明确系统所有组件的品牌、材质、型号，并且注明每一个组件的保修期；</w:t>
            </w:r>
          </w:p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eastAsia="zh-CN"/>
              </w:rPr>
              <w:t>（</w:t>
            </w:r>
            <w:r>
              <w:rPr>
                <w:rFonts w:hAnsi="宋体"/>
                <w:szCs w:val="21"/>
                <w:u w:color="333333"/>
                <w:lang w:eastAsia="zh-CN"/>
              </w:rPr>
              <w:t>3</w:t>
            </w:r>
            <w:r>
              <w:rPr>
                <w:rFonts w:hint="eastAsia" w:hAnsi="宋体"/>
                <w:szCs w:val="21"/>
                <w:u w:color="333333"/>
                <w:lang w:eastAsia="zh-CN"/>
              </w:rPr>
              <w:t>）除另有约定外，上述文件中方案或计划类文件应在合同签订后设备发运前交付审核。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</w:tbl>
    <w:p>
      <w:pPr>
        <w:rPr>
          <w:szCs w:val="21"/>
          <w:lang w:eastAsia="zh-CN"/>
        </w:rPr>
      </w:pPr>
    </w:p>
    <w:p>
      <w:pPr>
        <w:pStyle w:val="44"/>
        <w:numPr>
          <w:ilvl w:val="0"/>
          <w:numId w:val="3"/>
        </w:numPr>
        <w:spacing w:after="158" w:afterLines="50"/>
        <w:ind w:left="426" w:hanging="426" w:hangingChars="202"/>
        <w:outlineLvl w:val="0"/>
        <w:rPr>
          <w:rFonts w:ascii="Times New Roman" w:hAnsi="Times New Roman"/>
          <w:b/>
        </w:rPr>
      </w:pPr>
      <w:bookmarkStart w:id="29" w:name="_Toc522716125"/>
      <w:r>
        <w:rPr>
          <w:rFonts w:hint="eastAsia" w:ascii="Times New Roman" w:hAnsi="Times New Roman"/>
          <w:b/>
          <w:szCs w:val="21"/>
        </w:rPr>
        <w:t>服务要求</w:t>
      </w:r>
      <w:bookmarkEnd w:id="29"/>
    </w:p>
    <w:tbl>
      <w:tblPr>
        <w:tblStyle w:val="19"/>
        <w:tblW w:w="10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7128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编号</w:t>
            </w:r>
          </w:p>
        </w:tc>
        <w:tc>
          <w:tcPr>
            <w:tcW w:w="7128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426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培训要求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hAnsi="宋体"/>
                <w:szCs w:val="21"/>
                <w:u w:color="333333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eastAsia="zh-CN"/>
              </w:rPr>
              <w:t>设备供应商应免费对设备使用方人员进行全面培训，包括对操作人员及设备维护、维修人员，并填写培训记录。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hAnsi="宋体"/>
                <w:szCs w:val="21"/>
                <w:u w:color="333333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eastAsia="zh-CN"/>
              </w:rPr>
              <w:t>操作人员培训包括设备结构原理、性能、操作、清洗消毒、故障排除等基本知识。合格标准为用户参加培训人员能够独立正确操作设备，会排除常见故障。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40" w:lineRule="auto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设备维护、维修人员培训应包括设备结构原理、基本操作、维修、日常保养内容、故障排除等基本知识。合格标准为维修人员能对机械、电器部分进行基本维修，能够了解设备日常保养内容，能对造成常见故障的易损部件有明确认识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2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运输要求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440" w:lineRule="exact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设备运输在运输途中需做好防护措施，不得有任何损伤。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0" w:leftChars="0" w:firstLine="0" w:firstLineChars="0"/>
              <w:jc w:val="center"/>
              <w:rPr>
                <w:rFonts w:hint="eastAsia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3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left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验证要求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szCs w:val="21"/>
                <w:lang w:eastAsia="zh-CN"/>
              </w:rPr>
              <w:t>验证文件</w:t>
            </w:r>
            <w:r>
              <w:rPr>
                <w:rFonts w:hint="eastAsia"/>
                <w:szCs w:val="21"/>
                <w:lang w:eastAsia="zh-CN"/>
              </w:rPr>
              <w:t>：满足</w:t>
            </w:r>
            <w:r>
              <w:rPr>
                <w:szCs w:val="21"/>
                <w:lang w:eastAsia="zh-CN"/>
              </w:rPr>
              <w:t>GMP</w:t>
            </w:r>
            <w:r>
              <w:rPr>
                <w:rFonts w:hint="eastAsia"/>
                <w:szCs w:val="21"/>
                <w:lang w:eastAsia="zh-CN"/>
              </w:rPr>
              <w:t>，需要做</w:t>
            </w:r>
            <w:r>
              <w:rPr>
                <w:rFonts w:hint="eastAsia"/>
                <w:szCs w:val="21"/>
                <w:lang w:val="en-US" w:eastAsia="zh-CN"/>
              </w:rPr>
              <w:t>3Q验证，并出具3Q（安装，运行，性能）验证证书。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验证文件：验证计划、验证总结报告（VSR）。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期望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投标方按</w:t>
            </w:r>
            <w:r>
              <w:rPr>
                <w:rFonts w:ascii="宋体" w:hAnsi="宋体" w:cs="宋体"/>
                <w:szCs w:val="21"/>
                <w:lang w:eastAsia="zh-CN"/>
              </w:rPr>
              <w:t>GMP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规范完成所有验证工作，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各验证工作开始前验证方案需经过本公司相关部门审核，并经质量保证部批准。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验证工作应按时保质完成，供应商需提供验证工作计划表。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验证项目应包含法规要求的测试项目，以及本公司提出的测试项目。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验证工作完成后，验证记录经本公司相关部门审核，并经质量保证部批准。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验收前，验证工作已成功完成，验证最终报告已经本公司相关部门审核，并经质量保证部批准。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0" w:leftChars="0" w:firstLine="0" w:firstLineChars="0"/>
              <w:jc w:val="center"/>
              <w:rPr>
                <w:rFonts w:hint="eastAsia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4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left"/>
              <w:rPr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</w:rPr>
              <w:t>售后服务及备件要求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color w:val="auto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仪器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保质期从确认验收的阶段就开始计算</w:t>
            </w:r>
            <w:r>
              <w:rPr>
                <w:rFonts w:hint="eastAsia" w:hAnsi="宋体"/>
                <w:szCs w:val="21"/>
                <w:u w:color="333333"/>
                <w:lang w:eastAsia="zh-CN"/>
              </w:rPr>
              <w:t>，整机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保期为</w:t>
            </w:r>
            <w:r>
              <w:rPr>
                <w:rFonts w:hint="eastAsia" w:hAnsi="宋体"/>
                <w:szCs w:val="21"/>
                <w:u w:color="333333"/>
                <w:lang w:val="en-US" w:eastAsia="zh-CN"/>
              </w:rPr>
              <w:t>二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年，</w:t>
            </w:r>
            <w:r>
              <w:rPr>
                <w:rFonts w:hint="eastAsia" w:hAnsi="宋体"/>
                <w:szCs w:val="21"/>
                <w:u w:color="333333"/>
                <w:lang w:val="en-US" w:eastAsia="zh-CN"/>
              </w:rPr>
              <w:t>二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年内免费保修，</w:t>
            </w:r>
            <w:r>
              <w:rPr>
                <w:rFonts w:hint="eastAsia" w:hAnsi="宋体"/>
                <w:szCs w:val="21"/>
                <w:u w:color="333333"/>
                <w:lang w:val="en-US" w:eastAsia="zh-CN"/>
              </w:rPr>
              <w:t>二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年后应提供</w:t>
            </w:r>
            <w:r>
              <w:rPr>
                <w:rFonts w:hint="eastAsia" w:hAnsi="宋体"/>
                <w:b w:val="0"/>
                <w:bCs w:val="0"/>
                <w:szCs w:val="21"/>
                <w:u w:color="333333"/>
                <w:lang w:val="zh-TW" w:eastAsia="zh-CN"/>
              </w:rPr>
              <w:t>终生售后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服务。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u w:color="333333"/>
                <w:lang w:val="zh-TW" w:eastAsia="zh-CN"/>
              </w:rPr>
              <w:t>售后服务必须响应及时，要求设备出现须厂家维修的故障后，应在</w:t>
            </w:r>
            <w:r>
              <w:rPr>
                <w:rFonts w:ascii="宋体" w:hAnsi="宋体" w:cs="宋体"/>
                <w:szCs w:val="21"/>
                <w:u w:color="333333"/>
                <w:lang w:eastAsia="zh-CN"/>
              </w:rPr>
              <w:t>4</w:t>
            </w:r>
            <w:r>
              <w:rPr>
                <w:rFonts w:hint="eastAsia" w:ascii="宋体" w:hAnsi="宋体" w:cs="宋体"/>
                <w:szCs w:val="21"/>
                <w:u w:color="333333"/>
                <w:lang w:val="zh-TW" w:eastAsia="zh-CN"/>
              </w:rPr>
              <w:t>小时内明确答复，当电话沟通无法解决时，须</w:t>
            </w:r>
            <w:r>
              <w:rPr>
                <w:rFonts w:ascii="宋体" w:hAnsi="宋体" w:cs="宋体"/>
                <w:szCs w:val="21"/>
                <w:u w:color="333333"/>
                <w:lang w:eastAsia="zh-CN"/>
              </w:rPr>
              <w:t>24</w:t>
            </w:r>
            <w:r>
              <w:rPr>
                <w:rFonts w:hint="eastAsia" w:ascii="宋体" w:hAnsi="宋体" w:cs="宋体"/>
                <w:szCs w:val="21"/>
                <w:u w:color="333333"/>
                <w:lang w:val="zh-TW" w:eastAsia="zh-CN"/>
              </w:rPr>
              <w:t>小时内派人至现场解决。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两年免费保修期后，</w:t>
            </w:r>
            <w:r>
              <w:rPr>
                <w:rFonts w:hint="eastAsia" w:hAnsi="宋体"/>
                <w:szCs w:val="21"/>
                <w:u w:color="333333"/>
                <w:lang w:eastAsia="zh-CN"/>
              </w:rPr>
              <w:t>供应商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应终生提供及时的维修、维护，</w:t>
            </w:r>
            <w:r>
              <w:rPr>
                <w:rFonts w:hint="eastAsia" w:hAnsi="宋体"/>
                <w:szCs w:val="21"/>
                <w:u w:color="333333"/>
                <w:lang w:eastAsia="zh-CN"/>
              </w:rPr>
              <w:t>供应商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应定期回访，解决设备运行当中可能出现的疑问，排除潜在故障，使设备保持良好工作状态。</w:t>
            </w:r>
            <w:bookmarkStart w:id="30" w:name="_GoBack"/>
            <w:bookmarkEnd w:id="30"/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440" w:lineRule="exact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eastAsia="zh-CN"/>
              </w:rPr>
              <w:t>供应商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应提供合格的备件，用于设备相应部件的维修、更换。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0" w:leftChars="0" w:firstLine="0" w:firstLineChars="0"/>
              <w:jc w:val="center"/>
              <w:rPr>
                <w:rFonts w:hint="eastAsia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5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</w:rPr>
              <w:t>验收要求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货物到达买方使用现场后，由买卖双方共同验收，卖方工程师免费为买方提供调试。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供应商进厂施工需遵守安全和施工规定。确认验收合格后，买卖双方签订验收报告。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</w:tbl>
    <w:p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p>
      <w:pPr>
        <w:pStyle w:val="53"/>
        <w:spacing w:before="0" w:line="360" w:lineRule="auto"/>
        <w:jc w:val="left"/>
        <w:rPr>
          <w:rFonts w:hAnsi="宋体"/>
          <w:sz w:val="21"/>
          <w:szCs w:val="21"/>
          <w:u w:color="333333"/>
          <w:lang w:val="zh-TW" w:eastAsia="zh-CN"/>
        </w:rPr>
      </w:pPr>
    </w:p>
    <w:sectPr>
      <w:pgSz w:w="11907" w:h="16840"/>
      <w:pgMar w:top="1134" w:right="567" w:bottom="1134" w:left="993" w:header="851" w:footer="992" w:gutter="0"/>
      <w:pgNumType w:start="1"/>
      <w:cols w:space="72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falt">
    <w:altName w:val="Microsoft JhengHei UI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FC583D"/>
    <w:multiLevelType w:val="multilevel"/>
    <w:tmpl w:val="08FC583D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  <w:rPr>
        <w:rFonts w:hint="default" w:cs="Times New Roman"/>
        <w:sz w:val="22"/>
      </w:r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hint="default" w:cs="Times New Roman"/>
        <w:sz w:val="22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default" w:cs="Times New Roman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default" w:cs="Times New Roman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default" w:cs="Times New Roman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default" w:cs="Times New Roman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default" w:cs="Times New Roman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default" w:cs="Times New Roman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default" w:cs="Times New Roman"/>
      </w:rPr>
    </w:lvl>
  </w:abstractNum>
  <w:abstractNum w:abstractNumId="1">
    <w:nsid w:val="16D341CC"/>
    <w:multiLevelType w:val="multilevel"/>
    <w:tmpl w:val="16D341CC"/>
    <w:lvl w:ilvl="0" w:tentative="0">
      <w:start w:val="1"/>
      <w:numFmt w:val="decimal"/>
      <w:lvlText w:val="URS %1"/>
      <w:lvlJc w:val="left"/>
      <w:pPr>
        <w:ind w:left="846" w:hanging="42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ind w:left="14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8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2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7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31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5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9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80" w:hanging="420"/>
      </w:pPr>
      <w:rPr>
        <w:rFonts w:cs="Times New Roman"/>
      </w:rPr>
    </w:lvl>
  </w:abstractNum>
  <w:abstractNum w:abstractNumId="2">
    <w:nsid w:val="23693724"/>
    <w:multiLevelType w:val="multilevel"/>
    <w:tmpl w:val="23693724"/>
    <w:lvl w:ilvl="0" w:tentative="0">
      <w:start w:val="1"/>
      <w:numFmt w:val="decimal"/>
      <w:lvlText w:val="%1"/>
      <w:lvlJc w:val="left"/>
      <w:pPr>
        <w:ind w:left="425" w:hanging="425"/>
      </w:pPr>
      <w:rPr>
        <w:rFonts w:cs="Times New Roman"/>
      </w:rPr>
    </w:lvl>
    <w:lvl w:ilvl="1" w:tentative="0">
      <w:start w:val="1"/>
      <w:numFmt w:val="decimal"/>
      <w:lvlText w:val="%1.%2"/>
      <w:lvlJc w:val="left"/>
      <w:pPr>
        <w:ind w:left="992" w:hanging="567"/>
      </w:pPr>
      <w:rPr>
        <w:rFonts w:cs="Times New Roman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cs="Times New Roman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cs="Times New Roman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cs="Times New Roman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cs="Times New Roman"/>
      </w:rPr>
    </w:lvl>
  </w:abstractNum>
  <w:abstractNum w:abstractNumId="3">
    <w:nsid w:val="686546ED"/>
    <w:multiLevelType w:val="multilevel"/>
    <w:tmpl w:val="686546ED"/>
    <w:lvl w:ilvl="0" w:tentative="0">
      <w:start w:val="1"/>
      <w:numFmt w:val="decimal"/>
      <w:pStyle w:val="49"/>
      <w:lvlText w:val="%1)"/>
      <w:lvlJc w:val="left"/>
      <w:pPr>
        <w:ind w:left="720" w:hanging="360"/>
      </w:pPr>
      <w:rPr>
        <w:rFonts w:cs="Times New Roman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dit="trackedChanges" w:enforcement="0"/>
  <w:defaultTabStop w:val="720"/>
  <w:drawingGridHorizontalSpacing w:val="120"/>
  <w:drawingGridVerticalSpacing w:val="158"/>
  <w:displayHorizontalDrawingGridEvery w:val="0"/>
  <w:displayVerticalDrawingGridEvery w:val="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E3ODRiODUxNWE4NWQ1ZmZiZTdmNzk2NzlkMTdhMDUifQ=="/>
  </w:docVars>
  <w:rsids>
    <w:rsidRoot w:val="00391016"/>
    <w:rsid w:val="00001AE0"/>
    <w:rsid w:val="000021A6"/>
    <w:rsid w:val="00002F06"/>
    <w:rsid w:val="000038A4"/>
    <w:rsid w:val="0000520B"/>
    <w:rsid w:val="000059AD"/>
    <w:rsid w:val="00005CB9"/>
    <w:rsid w:val="00005E76"/>
    <w:rsid w:val="00006273"/>
    <w:rsid w:val="00006FD5"/>
    <w:rsid w:val="0001160E"/>
    <w:rsid w:val="000117C7"/>
    <w:rsid w:val="000169DD"/>
    <w:rsid w:val="00020FEA"/>
    <w:rsid w:val="00022818"/>
    <w:rsid w:val="000233DE"/>
    <w:rsid w:val="00023B07"/>
    <w:rsid w:val="00023CAD"/>
    <w:rsid w:val="0002457E"/>
    <w:rsid w:val="000275E7"/>
    <w:rsid w:val="000303D0"/>
    <w:rsid w:val="00031243"/>
    <w:rsid w:val="00031900"/>
    <w:rsid w:val="000355F3"/>
    <w:rsid w:val="00037987"/>
    <w:rsid w:val="00037F15"/>
    <w:rsid w:val="00037F55"/>
    <w:rsid w:val="000404F1"/>
    <w:rsid w:val="00041104"/>
    <w:rsid w:val="00041A2A"/>
    <w:rsid w:val="00041D89"/>
    <w:rsid w:val="00042330"/>
    <w:rsid w:val="00044DFD"/>
    <w:rsid w:val="000467C2"/>
    <w:rsid w:val="00046B5E"/>
    <w:rsid w:val="00047038"/>
    <w:rsid w:val="00047BA8"/>
    <w:rsid w:val="00047CAF"/>
    <w:rsid w:val="00053A4C"/>
    <w:rsid w:val="00054BB1"/>
    <w:rsid w:val="00055ED6"/>
    <w:rsid w:val="00056478"/>
    <w:rsid w:val="00056AE2"/>
    <w:rsid w:val="00056E9E"/>
    <w:rsid w:val="00057046"/>
    <w:rsid w:val="000576C2"/>
    <w:rsid w:val="00063572"/>
    <w:rsid w:val="00063B90"/>
    <w:rsid w:val="00064A43"/>
    <w:rsid w:val="000662D2"/>
    <w:rsid w:val="00071DD4"/>
    <w:rsid w:val="00072340"/>
    <w:rsid w:val="00072945"/>
    <w:rsid w:val="00073B81"/>
    <w:rsid w:val="0007673E"/>
    <w:rsid w:val="00077AE1"/>
    <w:rsid w:val="000818AC"/>
    <w:rsid w:val="00082C13"/>
    <w:rsid w:val="00083D58"/>
    <w:rsid w:val="000844A8"/>
    <w:rsid w:val="00084F90"/>
    <w:rsid w:val="00086CA0"/>
    <w:rsid w:val="00087002"/>
    <w:rsid w:val="00092C03"/>
    <w:rsid w:val="00096510"/>
    <w:rsid w:val="00097A7D"/>
    <w:rsid w:val="00097CA2"/>
    <w:rsid w:val="000A1D9E"/>
    <w:rsid w:val="000A2664"/>
    <w:rsid w:val="000A2C3C"/>
    <w:rsid w:val="000A41DA"/>
    <w:rsid w:val="000A55CC"/>
    <w:rsid w:val="000A5CEE"/>
    <w:rsid w:val="000A6423"/>
    <w:rsid w:val="000A6661"/>
    <w:rsid w:val="000B02ED"/>
    <w:rsid w:val="000B02FD"/>
    <w:rsid w:val="000B068C"/>
    <w:rsid w:val="000B417D"/>
    <w:rsid w:val="000B45E0"/>
    <w:rsid w:val="000B4EC4"/>
    <w:rsid w:val="000B5888"/>
    <w:rsid w:val="000C0A41"/>
    <w:rsid w:val="000C0DD3"/>
    <w:rsid w:val="000C0FA5"/>
    <w:rsid w:val="000C3C81"/>
    <w:rsid w:val="000C41B6"/>
    <w:rsid w:val="000C4B94"/>
    <w:rsid w:val="000C7137"/>
    <w:rsid w:val="000D112B"/>
    <w:rsid w:val="000D1A79"/>
    <w:rsid w:val="000D3B24"/>
    <w:rsid w:val="000D43C9"/>
    <w:rsid w:val="000D517D"/>
    <w:rsid w:val="000D5BCC"/>
    <w:rsid w:val="000D6D1E"/>
    <w:rsid w:val="000D6FF9"/>
    <w:rsid w:val="000D7C49"/>
    <w:rsid w:val="000E0DDB"/>
    <w:rsid w:val="000E17B5"/>
    <w:rsid w:val="000E41B5"/>
    <w:rsid w:val="000E51FF"/>
    <w:rsid w:val="000E5684"/>
    <w:rsid w:val="000E5B57"/>
    <w:rsid w:val="000F0D08"/>
    <w:rsid w:val="000F2CD3"/>
    <w:rsid w:val="000F36B9"/>
    <w:rsid w:val="000F3A00"/>
    <w:rsid w:val="000F4E03"/>
    <w:rsid w:val="000F606A"/>
    <w:rsid w:val="000F706D"/>
    <w:rsid w:val="00100F65"/>
    <w:rsid w:val="0010110F"/>
    <w:rsid w:val="00102DC9"/>
    <w:rsid w:val="001031DF"/>
    <w:rsid w:val="00103F05"/>
    <w:rsid w:val="00104160"/>
    <w:rsid w:val="0010503D"/>
    <w:rsid w:val="00106571"/>
    <w:rsid w:val="00106B5D"/>
    <w:rsid w:val="00110CF0"/>
    <w:rsid w:val="001120B7"/>
    <w:rsid w:val="0011231F"/>
    <w:rsid w:val="00112670"/>
    <w:rsid w:val="00112DD4"/>
    <w:rsid w:val="00112F30"/>
    <w:rsid w:val="00114353"/>
    <w:rsid w:val="001144F0"/>
    <w:rsid w:val="00115728"/>
    <w:rsid w:val="001163FC"/>
    <w:rsid w:val="00116F39"/>
    <w:rsid w:val="00117A01"/>
    <w:rsid w:val="00121B6E"/>
    <w:rsid w:val="00122051"/>
    <w:rsid w:val="00124244"/>
    <w:rsid w:val="00124E69"/>
    <w:rsid w:val="00125CC1"/>
    <w:rsid w:val="001273B0"/>
    <w:rsid w:val="00127CB8"/>
    <w:rsid w:val="001313C3"/>
    <w:rsid w:val="00132F4C"/>
    <w:rsid w:val="00134C68"/>
    <w:rsid w:val="00135FD6"/>
    <w:rsid w:val="001374CF"/>
    <w:rsid w:val="00143952"/>
    <w:rsid w:val="001442AB"/>
    <w:rsid w:val="0014477D"/>
    <w:rsid w:val="00144D00"/>
    <w:rsid w:val="00145034"/>
    <w:rsid w:val="00145DC7"/>
    <w:rsid w:val="00145F74"/>
    <w:rsid w:val="00146568"/>
    <w:rsid w:val="00150BCC"/>
    <w:rsid w:val="001541A9"/>
    <w:rsid w:val="001549D1"/>
    <w:rsid w:val="00154CD3"/>
    <w:rsid w:val="00154F26"/>
    <w:rsid w:val="001560AD"/>
    <w:rsid w:val="0015633E"/>
    <w:rsid w:val="0015752C"/>
    <w:rsid w:val="0016077F"/>
    <w:rsid w:val="00161486"/>
    <w:rsid w:val="0016194A"/>
    <w:rsid w:val="00161F7F"/>
    <w:rsid w:val="00162A78"/>
    <w:rsid w:val="00163A08"/>
    <w:rsid w:val="00164CDC"/>
    <w:rsid w:val="00164E0D"/>
    <w:rsid w:val="00166311"/>
    <w:rsid w:val="00166478"/>
    <w:rsid w:val="00167B0E"/>
    <w:rsid w:val="00171A51"/>
    <w:rsid w:val="001746E7"/>
    <w:rsid w:val="001757AB"/>
    <w:rsid w:val="001769A8"/>
    <w:rsid w:val="001814FA"/>
    <w:rsid w:val="001815A9"/>
    <w:rsid w:val="00182A27"/>
    <w:rsid w:val="00184DDD"/>
    <w:rsid w:val="00184FFD"/>
    <w:rsid w:val="00185449"/>
    <w:rsid w:val="00186314"/>
    <w:rsid w:val="00187B04"/>
    <w:rsid w:val="00190000"/>
    <w:rsid w:val="001929C2"/>
    <w:rsid w:val="00192B8F"/>
    <w:rsid w:val="00193D66"/>
    <w:rsid w:val="00194BB7"/>
    <w:rsid w:val="001A1DE7"/>
    <w:rsid w:val="001A3BB0"/>
    <w:rsid w:val="001A4947"/>
    <w:rsid w:val="001A64C0"/>
    <w:rsid w:val="001A685F"/>
    <w:rsid w:val="001A7EB6"/>
    <w:rsid w:val="001A7FE4"/>
    <w:rsid w:val="001B0278"/>
    <w:rsid w:val="001B28C8"/>
    <w:rsid w:val="001B4654"/>
    <w:rsid w:val="001C017B"/>
    <w:rsid w:val="001C239E"/>
    <w:rsid w:val="001C2D7E"/>
    <w:rsid w:val="001D1FA0"/>
    <w:rsid w:val="001D32D4"/>
    <w:rsid w:val="001D3C96"/>
    <w:rsid w:val="001D4383"/>
    <w:rsid w:val="001D4742"/>
    <w:rsid w:val="001D474B"/>
    <w:rsid w:val="001D48B0"/>
    <w:rsid w:val="001D5549"/>
    <w:rsid w:val="001E0376"/>
    <w:rsid w:val="001E13E0"/>
    <w:rsid w:val="001E2B2B"/>
    <w:rsid w:val="001E353E"/>
    <w:rsid w:val="001E3CBE"/>
    <w:rsid w:val="001E5657"/>
    <w:rsid w:val="001E5F94"/>
    <w:rsid w:val="001E744F"/>
    <w:rsid w:val="001F065A"/>
    <w:rsid w:val="001F1FE7"/>
    <w:rsid w:val="001F25DD"/>
    <w:rsid w:val="001F3552"/>
    <w:rsid w:val="001F473D"/>
    <w:rsid w:val="001F4BFD"/>
    <w:rsid w:val="001F7405"/>
    <w:rsid w:val="001F7E95"/>
    <w:rsid w:val="00201487"/>
    <w:rsid w:val="00203D68"/>
    <w:rsid w:val="0020539A"/>
    <w:rsid w:val="00205E00"/>
    <w:rsid w:val="00206107"/>
    <w:rsid w:val="002070B2"/>
    <w:rsid w:val="0020756B"/>
    <w:rsid w:val="00210177"/>
    <w:rsid w:val="00212297"/>
    <w:rsid w:val="002129BC"/>
    <w:rsid w:val="00212BD9"/>
    <w:rsid w:val="00213AA9"/>
    <w:rsid w:val="002168FE"/>
    <w:rsid w:val="00217048"/>
    <w:rsid w:val="002178C5"/>
    <w:rsid w:val="00220757"/>
    <w:rsid w:val="00222993"/>
    <w:rsid w:val="00223661"/>
    <w:rsid w:val="00224129"/>
    <w:rsid w:val="00225DD2"/>
    <w:rsid w:val="002279A2"/>
    <w:rsid w:val="00227A0D"/>
    <w:rsid w:val="002320D9"/>
    <w:rsid w:val="00234C07"/>
    <w:rsid w:val="002355FF"/>
    <w:rsid w:val="002367A6"/>
    <w:rsid w:val="00236BE9"/>
    <w:rsid w:val="00237E6C"/>
    <w:rsid w:val="00240A09"/>
    <w:rsid w:val="00240B1E"/>
    <w:rsid w:val="00241437"/>
    <w:rsid w:val="00245088"/>
    <w:rsid w:val="00253242"/>
    <w:rsid w:val="002547BF"/>
    <w:rsid w:val="002548CA"/>
    <w:rsid w:val="0025531B"/>
    <w:rsid w:val="002560F9"/>
    <w:rsid w:val="00257517"/>
    <w:rsid w:val="00257FA9"/>
    <w:rsid w:val="00261CD0"/>
    <w:rsid w:val="00261F30"/>
    <w:rsid w:val="002637FB"/>
    <w:rsid w:val="00263CB5"/>
    <w:rsid w:val="0026571F"/>
    <w:rsid w:val="0027137F"/>
    <w:rsid w:val="002723D2"/>
    <w:rsid w:val="002732E5"/>
    <w:rsid w:val="002745D9"/>
    <w:rsid w:val="00274823"/>
    <w:rsid w:val="0027577D"/>
    <w:rsid w:val="00275F43"/>
    <w:rsid w:val="002810E3"/>
    <w:rsid w:val="00282EAA"/>
    <w:rsid w:val="0028384D"/>
    <w:rsid w:val="0028525D"/>
    <w:rsid w:val="002860DB"/>
    <w:rsid w:val="00286CE5"/>
    <w:rsid w:val="0029023F"/>
    <w:rsid w:val="002913B7"/>
    <w:rsid w:val="00291541"/>
    <w:rsid w:val="00291C5E"/>
    <w:rsid w:val="002924C2"/>
    <w:rsid w:val="00293E83"/>
    <w:rsid w:val="0029741F"/>
    <w:rsid w:val="00297DDC"/>
    <w:rsid w:val="002A18C8"/>
    <w:rsid w:val="002A42F8"/>
    <w:rsid w:val="002A547B"/>
    <w:rsid w:val="002A588E"/>
    <w:rsid w:val="002A7980"/>
    <w:rsid w:val="002B0A7C"/>
    <w:rsid w:val="002B14F3"/>
    <w:rsid w:val="002B480A"/>
    <w:rsid w:val="002B67A2"/>
    <w:rsid w:val="002B6854"/>
    <w:rsid w:val="002C1817"/>
    <w:rsid w:val="002C1DAB"/>
    <w:rsid w:val="002C4FCF"/>
    <w:rsid w:val="002C527C"/>
    <w:rsid w:val="002D0253"/>
    <w:rsid w:val="002D03CD"/>
    <w:rsid w:val="002D2477"/>
    <w:rsid w:val="002D2AAB"/>
    <w:rsid w:val="002D691F"/>
    <w:rsid w:val="002D6A50"/>
    <w:rsid w:val="002D6D1C"/>
    <w:rsid w:val="002E1D21"/>
    <w:rsid w:val="002E3B36"/>
    <w:rsid w:val="002E59BF"/>
    <w:rsid w:val="002E63F6"/>
    <w:rsid w:val="002E69A1"/>
    <w:rsid w:val="002F1C5E"/>
    <w:rsid w:val="002F1D63"/>
    <w:rsid w:val="002F340E"/>
    <w:rsid w:val="002F4392"/>
    <w:rsid w:val="002F4641"/>
    <w:rsid w:val="002F4B22"/>
    <w:rsid w:val="00302176"/>
    <w:rsid w:val="00302AF8"/>
    <w:rsid w:val="00304F96"/>
    <w:rsid w:val="00306131"/>
    <w:rsid w:val="00311B2C"/>
    <w:rsid w:val="00311EE4"/>
    <w:rsid w:val="0031318B"/>
    <w:rsid w:val="003137B7"/>
    <w:rsid w:val="003148D1"/>
    <w:rsid w:val="00314CFF"/>
    <w:rsid w:val="00315038"/>
    <w:rsid w:val="00315C3E"/>
    <w:rsid w:val="00316EEF"/>
    <w:rsid w:val="003172B7"/>
    <w:rsid w:val="00321298"/>
    <w:rsid w:val="00321D97"/>
    <w:rsid w:val="00323423"/>
    <w:rsid w:val="003240E5"/>
    <w:rsid w:val="00324B23"/>
    <w:rsid w:val="003257E0"/>
    <w:rsid w:val="00325FFA"/>
    <w:rsid w:val="00330D16"/>
    <w:rsid w:val="00330FFF"/>
    <w:rsid w:val="00333C91"/>
    <w:rsid w:val="0033695C"/>
    <w:rsid w:val="00341B2F"/>
    <w:rsid w:val="00342915"/>
    <w:rsid w:val="00344B04"/>
    <w:rsid w:val="00345847"/>
    <w:rsid w:val="00347576"/>
    <w:rsid w:val="00347772"/>
    <w:rsid w:val="00347A51"/>
    <w:rsid w:val="00347B19"/>
    <w:rsid w:val="003531FA"/>
    <w:rsid w:val="0035416F"/>
    <w:rsid w:val="003549FE"/>
    <w:rsid w:val="00355AAC"/>
    <w:rsid w:val="00355D7D"/>
    <w:rsid w:val="003647CA"/>
    <w:rsid w:val="00370514"/>
    <w:rsid w:val="0037056A"/>
    <w:rsid w:val="003726DF"/>
    <w:rsid w:val="0037345A"/>
    <w:rsid w:val="00373FFA"/>
    <w:rsid w:val="0037455F"/>
    <w:rsid w:val="00376C31"/>
    <w:rsid w:val="00380EB7"/>
    <w:rsid w:val="003810F5"/>
    <w:rsid w:val="00381C39"/>
    <w:rsid w:val="00381CF6"/>
    <w:rsid w:val="0038326A"/>
    <w:rsid w:val="0038367F"/>
    <w:rsid w:val="00387B81"/>
    <w:rsid w:val="00391016"/>
    <w:rsid w:val="00393529"/>
    <w:rsid w:val="00393B6A"/>
    <w:rsid w:val="003946C3"/>
    <w:rsid w:val="00395CE1"/>
    <w:rsid w:val="00395D47"/>
    <w:rsid w:val="00396425"/>
    <w:rsid w:val="003970BE"/>
    <w:rsid w:val="00397C18"/>
    <w:rsid w:val="003A04A8"/>
    <w:rsid w:val="003A1311"/>
    <w:rsid w:val="003A2EC5"/>
    <w:rsid w:val="003A3AAC"/>
    <w:rsid w:val="003A4CAE"/>
    <w:rsid w:val="003A6DFE"/>
    <w:rsid w:val="003A6FCD"/>
    <w:rsid w:val="003B096A"/>
    <w:rsid w:val="003B0B6A"/>
    <w:rsid w:val="003B1FF2"/>
    <w:rsid w:val="003B2104"/>
    <w:rsid w:val="003B354C"/>
    <w:rsid w:val="003B355B"/>
    <w:rsid w:val="003B4A5D"/>
    <w:rsid w:val="003B5047"/>
    <w:rsid w:val="003B6E29"/>
    <w:rsid w:val="003B73AB"/>
    <w:rsid w:val="003C02C6"/>
    <w:rsid w:val="003C03D7"/>
    <w:rsid w:val="003C0712"/>
    <w:rsid w:val="003C558E"/>
    <w:rsid w:val="003C6ECF"/>
    <w:rsid w:val="003C73BC"/>
    <w:rsid w:val="003D2243"/>
    <w:rsid w:val="003D3C09"/>
    <w:rsid w:val="003D464A"/>
    <w:rsid w:val="003D4EFF"/>
    <w:rsid w:val="003D5F4A"/>
    <w:rsid w:val="003D662C"/>
    <w:rsid w:val="003D77E5"/>
    <w:rsid w:val="003E49F8"/>
    <w:rsid w:val="003E5109"/>
    <w:rsid w:val="003E60EE"/>
    <w:rsid w:val="003E6B48"/>
    <w:rsid w:val="003E748F"/>
    <w:rsid w:val="003F3F47"/>
    <w:rsid w:val="003F6E0C"/>
    <w:rsid w:val="004003A8"/>
    <w:rsid w:val="0040240E"/>
    <w:rsid w:val="00402756"/>
    <w:rsid w:val="00405B3A"/>
    <w:rsid w:val="004074DC"/>
    <w:rsid w:val="004111CC"/>
    <w:rsid w:val="004122A3"/>
    <w:rsid w:val="00416E8B"/>
    <w:rsid w:val="00420273"/>
    <w:rsid w:val="00420AA0"/>
    <w:rsid w:val="0042116C"/>
    <w:rsid w:val="00422D19"/>
    <w:rsid w:val="00422DFE"/>
    <w:rsid w:val="00424D83"/>
    <w:rsid w:val="00424E29"/>
    <w:rsid w:val="00427D22"/>
    <w:rsid w:val="00427E2D"/>
    <w:rsid w:val="00432568"/>
    <w:rsid w:val="004328C0"/>
    <w:rsid w:val="00436C7C"/>
    <w:rsid w:val="00437440"/>
    <w:rsid w:val="00440378"/>
    <w:rsid w:val="00442B53"/>
    <w:rsid w:val="00443256"/>
    <w:rsid w:val="00444D2D"/>
    <w:rsid w:val="004510B1"/>
    <w:rsid w:val="00451C5D"/>
    <w:rsid w:val="00451D74"/>
    <w:rsid w:val="00452E73"/>
    <w:rsid w:val="004565EF"/>
    <w:rsid w:val="00457FF9"/>
    <w:rsid w:val="004601ED"/>
    <w:rsid w:val="00460711"/>
    <w:rsid w:val="0046108B"/>
    <w:rsid w:val="00466F5B"/>
    <w:rsid w:val="00467AE6"/>
    <w:rsid w:val="00467EC9"/>
    <w:rsid w:val="0047089B"/>
    <w:rsid w:val="00477791"/>
    <w:rsid w:val="00480286"/>
    <w:rsid w:val="00480C3B"/>
    <w:rsid w:val="00480FE3"/>
    <w:rsid w:val="00481C94"/>
    <w:rsid w:val="00484A8D"/>
    <w:rsid w:val="00486A4E"/>
    <w:rsid w:val="00486B09"/>
    <w:rsid w:val="0049139F"/>
    <w:rsid w:val="00494F07"/>
    <w:rsid w:val="00496116"/>
    <w:rsid w:val="004965A0"/>
    <w:rsid w:val="00497335"/>
    <w:rsid w:val="004A05A7"/>
    <w:rsid w:val="004A3F98"/>
    <w:rsid w:val="004A5532"/>
    <w:rsid w:val="004A5958"/>
    <w:rsid w:val="004A76DF"/>
    <w:rsid w:val="004B0A75"/>
    <w:rsid w:val="004B2190"/>
    <w:rsid w:val="004B69B2"/>
    <w:rsid w:val="004B7507"/>
    <w:rsid w:val="004B7DC4"/>
    <w:rsid w:val="004B7F85"/>
    <w:rsid w:val="004C099B"/>
    <w:rsid w:val="004C42AE"/>
    <w:rsid w:val="004C49B0"/>
    <w:rsid w:val="004C4F53"/>
    <w:rsid w:val="004C4F7F"/>
    <w:rsid w:val="004C592E"/>
    <w:rsid w:val="004D050F"/>
    <w:rsid w:val="004D0E3A"/>
    <w:rsid w:val="004D1A73"/>
    <w:rsid w:val="004D48C2"/>
    <w:rsid w:val="004D67B1"/>
    <w:rsid w:val="004D7128"/>
    <w:rsid w:val="004D751D"/>
    <w:rsid w:val="004E05C2"/>
    <w:rsid w:val="004E0B02"/>
    <w:rsid w:val="004E0C0D"/>
    <w:rsid w:val="004E255F"/>
    <w:rsid w:val="004E4C2D"/>
    <w:rsid w:val="004F0539"/>
    <w:rsid w:val="004F10A4"/>
    <w:rsid w:val="004F342E"/>
    <w:rsid w:val="004F4C63"/>
    <w:rsid w:val="004F5AE6"/>
    <w:rsid w:val="004F5C19"/>
    <w:rsid w:val="004F7B6A"/>
    <w:rsid w:val="0050090F"/>
    <w:rsid w:val="0050208D"/>
    <w:rsid w:val="0050284B"/>
    <w:rsid w:val="00502F99"/>
    <w:rsid w:val="00504B71"/>
    <w:rsid w:val="00507991"/>
    <w:rsid w:val="00507C94"/>
    <w:rsid w:val="00507EB2"/>
    <w:rsid w:val="00510111"/>
    <w:rsid w:val="00511AB4"/>
    <w:rsid w:val="00512690"/>
    <w:rsid w:val="00512A4E"/>
    <w:rsid w:val="00514EA4"/>
    <w:rsid w:val="00516BB4"/>
    <w:rsid w:val="00517A5D"/>
    <w:rsid w:val="00517E1E"/>
    <w:rsid w:val="005217E8"/>
    <w:rsid w:val="005220FE"/>
    <w:rsid w:val="005247DE"/>
    <w:rsid w:val="00530B8F"/>
    <w:rsid w:val="00531434"/>
    <w:rsid w:val="00531754"/>
    <w:rsid w:val="00534840"/>
    <w:rsid w:val="00534D08"/>
    <w:rsid w:val="00536973"/>
    <w:rsid w:val="00536C6B"/>
    <w:rsid w:val="00544652"/>
    <w:rsid w:val="0054625B"/>
    <w:rsid w:val="00551539"/>
    <w:rsid w:val="00552EFE"/>
    <w:rsid w:val="00554ABB"/>
    <w:rsid w:val="0055552D"/>
    <w:rsid w:val="00555668"/>
    <w:rsid w:val="0055679E"/>
    <w:rsid w:val="0056090D"/>
    <w:rsid w:val="00561E9C"/>
    <w:rsid w:val="00565C7A"/>
    <w:rsid w:val="00567E14"/>
    <w:rsid w:val="005705A7"/>
    <w:rsid w:val="0057277E"/>
    <w:rsid w:val="00572F0E"/>
    <w:rsid w:val="00574D60"/>
    <w:rsid w:val="00575318"/>
    <w:rsid w:val="005768C2"/>
    <w:rsid w:val="00577142"/>
    <w:rsid w:val="005773E5"/>
    <w:rsid w:val="00581AD5"/>
    <w:rsid w:val="00581C4E"/>
    <w:rsid w:val="00582DB0"/>
    <w:rsid w:val="00584B8E"/>
    <w:rsid w:val="00586EFD"/>
    <w:rsid w:val="00587AC1"/>
    <w:rsid w:val="00587DE8"/>
    <w:rsid w:val="00590694"/>
    <w:rsid w:val="00590AA6"/>
    <w:rsid w:val="00591A70"/>
    <w:rsid w:val="00592624"/>
    <w:rsid w:val="00593AF8"/>
    <w:rsid w:val="00593EC9"/>
    <w:rsid w:val="005964B1"/>
    <w:rsid w:val="005965FD"/>
    <w:rsid w:val="00597FCC"/>
    <w:rsid w:val="005A132A"/>
    <w:rsid w:val="005A337C"/>
    <w:rsid w:val="005A34B0"/>
    <w:rsid w:val="005A3ECF"/>
    <w:rsid w:val="005A6821"/>
    <w:rsid w:val="005B2393"/>
    <w:rsid w:val="005B750A"/>
    <w:rsid w:val="005C296B"/>
    <w:rsid w:val="005C2B89"/>
    <w:rsid w:val="005C2FA7"/>
    <w:rsid w:val="005C386F"/>
    <w:rsid w:val="005C42AC"/>
    <w:rsid w:val="005C4D05"/>
    <w:rsid w:val="005C506B"/>
    <w:rsid w:val="005C71BF"/>
    <w:rsid w:val="005C723D"/>
    <w:rsid w:val="005C7601"/>
    <w:rsid w:val="005D1094"/>
    <w:rsid w:val="005D3394"/>
    <w:rsid w:val="005D3989"/>
    <w:rsid w:val="005D42FF"/>
    <w:rsid w:val="005E2725"/>
    <w:rsid w:val="005E65FA"/>
    <w:rsid w:val="005F19CE"/>
    <w:rsid w:val="005F28F4"/>
    <w:rsid w:val="005F43BB"/>
    <w:rsid w:val="005F503E"/>
    <w:rsid w:val="005F63B1"/>
    <w:rsid w:val="005F6CB3"/>
    <w:rsid w:val="005F7612"/>
    <w:rsid w:val="005F7663"/>
    <w:rsid w:val="005F7D63"/>
    <w:rsid w:val="00607170"/>
    <w:rsid w:val="00607408"/>
    <w:rsid w:val="00610AEE"/>
    <w:rsid w:val="00616BAC"/>
    <w:rsid w:val="00620598"/>
    <w:rsid w:val="00620FEC"/>
    <w:rsid w:val="006214DC"/>
    <w:rsid w:val="006215E2"/>
    <w:rsid w:val="0062168F"/>
    <w:rsid w:val="00621B5F"/>
    <w:rsid w:val="006221A2"/>
    <w:rsid w:val="00627113"/>
    <w:rsid w:val="00627B8B"/>
    <w:rsid w:val="0063106D"/>
    <w:rsid w:val="006312FF"/>
    <w:rsid w:val="00632136"/>
    <w:rsid w:val="00632C67"/>
    <w:rsid w:val="006331B6"/>
    <w:rsid w:val="00633310"/>
    <w:rsid w:val="00633315"/>
    <w:rsid w:val="006366CC"/>
    <w:rsid w:val="00637C16"/>
    <w:rsid w:val="0064048E"/>
    <w:rsid w:val="00641320"/>
    <w:rsid w:val="00641E74"/>
    <w:rsid w:val="006434E3"/>
    <w:rsid w:val="0064366A"/>
    <w:rsid w:val="00646987"/>
    <w:rsid w:val="006506CF"/>
    <w:rsid w:val="00650A76"/>
    <w:rsid w:val="00650CD0"/>
    <w:rsid w:val="00650DA4"/>
    <w:rsid w:val="00651DA5"/>
    <w:rsid w:val="00652D22"/>
    <w:rsid w:val="00656797"/>
    <w:rsid w:val="006571EC"/>
    <w:rsid w:val="0066086B"/>
    <w:rsid w:val="00660A8C"/>
    <w:rsid w:val="006632B2"/>
    <w:rsid w:val="00663F7E"/>
    <w:rsid w:val="00664084"/>
    <w:rsid w:val="0066445E"/>
    <w:rsid w:val="00667045"/>
    <w:rsid w:val="00670A00"/>
    <w:rsid w:val="00670C23"/>
    <w:rsid w:val="00672B86"/>
    <w:rsid w:val="00673031"/>
    <w:rsid w:val="00673EB3"/>
    <w:rsid w:val="00680BE8"/>
    <w:rsid w:val="00686409"/>
    <w:rsid w:val="00686D19"/>
    <w:rsid w:val="006870D2"/>
    <w:rsid w:val="0068777F"/>
    <w:rsid w:val="00693018"/>
    <w:rsid w:val="006A0059"/>
    <w:rsid w:val="006A7425"/>
    <w:rsid w:val="006B058A"/>
    <w:rsid w:val="006B1299"/>
    <w:rsid w:val="006B26D9"/>
    <w:rsid w:val="006B310C"/>
    <w:rsid w:val="006B664C"/>
    <w:rsid w:val="006C1125"/>
    <w:rsid w:val="006C1C83"/>
    <w:rsid w:val="006C3E78"/>
    <w:rsid w:val="006C54E6"/>
    <w:rsid w:val="006C5762"/>
    <w:rsid w:val="006C690D"/>
    <w:rsid w:val="006D149F"/>
    <w:rsid w:val="006D3396"/>
    <w:rsid w:val="006D5AFF"/>
    <w:rsid w:val="006E050C"/>
    <w:rsid w:val="006E152B"/>
    <w:rsid w:val="006E36D1"/>
    <w:rsid w:val="006E3736"/>
    <w:rsid w:val="006E4002"/>
    <w:rsid w:val="006E4DB6"/>
    <w:rsid w:val="006E622E"/>
    <w:rsid w:val="006E7938"/>
    <w:rsid w:val="006E79FB"/>
    <w:rsid w:val="006F229A"/>
    <w:rsid w:val="006F3BB9"/>
    <w:rsid w:val="006F4AA6"/>
    <w:rsid w:val="006F6CA3"/>
    <w:rsid w:val="007007FA"/>
    <w:rsid w:val="007036CA"/>
    <w:rsid w:val="007041CB"/>
    <w:rsid w:val="00705090"/>
    <w:rsid w:val="00705102"/>
    <w:rsid w:val="00705DDB"/>
    <w:rsid w:val="0070675E"/>
    <w:rsid w:val="00706A0E"/>
    <w:rsid w:val="00710573"/>
    <w:rsid w:val="00710808"/>
    <w:rsid w:val="007116CB"/>
    <w:rsid w:val="0071211E"/>
    <w:rsid w:val="00712B1B"/>
    <w:rsid w:val="0071622D"/>
    <w:rsid w:val="007168CC"/>
    <w:rsid w:val="007176BB"/>
    <w:rsid w:val="00717811"/>
    <w:rsid w:val="00720A17"/>
    <w:rsid w:val="00720D4B"/>
    <w:rsid w:val="00723A0F"/>
    <w:rsid w:val="00726CB6"/>
    <w:rsid w:val="00727255"/>
    <w:rsid w:val="0072779B"/>
    <w:rsid w:val="00727CCF"/>
    <w:rsid w:val="0073446D"/>
    <w:rsid w:val="007349FF"/>
    <w:rsid w:val="00734B45"/>
    <w:rsid w:val="00736FFB"/>
    <w:rsid w:val="00737107"/>
    <w:rsid w:val="00740080"/>
    <w:rsid w:val="00741A30"/>
    <w:rsid w:val="007504DC"/>
    <w:rsid w:val="0075142F"/>
    <w:rsid w:val="00751965"/>
    <w:rsid w:val="007524EF"/>
    <w:rsid w:val="00752689"/>
    <w:rsid w:val="00756D1D"/>
    <w:rsid w:val="00760886"/>
    <w:rsid w:val="007615CA"/>
    <w:rsid w:val="00761ADD"/>
    <w:rsid w:val="00762B3A"/>
    <w:rsid w:val="00765D6E"/>
    <w:rsid w:val="00765D7E"/>
    <w:rsid w:val="007674B6"/>
    <w:rsid w:val="00770E90"/>
    <w:rsid w:val="00772C42"/>
    <w:rsid w:val="0077302F"/>
    <w:rsid w:val="00773661"/>
    <w:rsid w:val="00774A61"/>
    <w:rsid w:val="00774E08"/>
    <w:rsid w:val="00774E72"/>
    <w:rsid w:val="0077746F"/>
    <w:rsid w:val="007775FE"/>
    <w:rsid w:val="00780A5F"/>
    <w:rsid w:val="00784913"/>
    <w:rsid w:val="00785B90"/>
    <w:rsid w:val="0078639C"/>
    <w:rsid w:val="007913D3"/>
    <w:rsid w:val="0079790C"/>
    <w:rsid w:val="007A102A"/>
    <w:rsid w:val="007A15E6"/>
    <w:rsid w:val="007A194B"/>
    <w:rsid w:val="007A4BCD"/>
    <w:rsid w:val="007A5714"/>
    <w:rsid w:val="007A5EFA"/>
    <w:rsid w:val="007A6821"/>
    <w:rsid w:val="007A75EF"/>
    <w:rsid w:val="007B00D7"/>
    <w:rsid w:val="007B03B6"/>
    <w:rsid w:val="007B1257"/>
    <w:rsid w:val="007B21C0"/>
    <w:rsid w:val="007B33CC"/>
    <w:rsid w:val="007B4133"/>
    <w:rsid w:val="007B49F4"/>
    <w:rsid w:val="007B7AB4"/>
    <w:rsid w:val="007C2405"/>
    <w:rsid w:val="007C2A54"/>
    <w:rsid w:val="007C2B69"/>
    <w:rsid w:val="007C2DC1"/>
    <w:rsid w:val="007C3B05"/>
    <w:rsid w:val="007C3D25"/>
    <w:rsid w:val="007C4998"/>
    <w:rsid w:val="007C668F"/>
    <w:rsid w:val="007C723F"/>
    <w:rsid w:val="007C778D"/>
    <w:rsid w:val="007D07D6"/>
    <w:rsid w:val="007D18A6"/>
    <w:rsid w:val="007D1CA0"/>
    <w:rsid w:val="007D2DF5"/>
    <w:rsid w:val="007D4994"/>
    <w:rsid w:val="007D4BB3"/>
    <w:rsid w:val="007D4F6E"/>
    <w:rsid w:val="007D5ECD"/>
    <w:rsid w:val="007D61CA"/>
    <w:rsid w:val="007D6DCF"/>
    <w:rsid w:val="007D6F0D"/>
    <w:rsid w:val="007D7963"/>
    <w:rsid w:val="007E3532"/>
    <w:rsid w:val="007E5FE3"/>
    <w:rsid w:val="007E64DF"/>
    <w:rsid w:val="007E657D"/>
    <w:rsid w:val="007E7119"/>
    <w:rsid w:val="007E71BB"/>
    <w:rsid w:val="007E7B90"/>
    <w:rsid w:val="007E7C13"/>
    <w:rsid w:val="007F2464"/>
    <w:rsid w:val="007F4A64"/>
    <w:rsid w:val="007F4ADE"/>
    <w:rsid w:val="007F5A5A"/>
    <w:rsid w:val="007F5EDC"/>
    <w:rsid w:val="00800AFD"/>
    <w:rsid w:val="00800C1B"/>
    <w:rsid w:val="0080239D"/>
    <w:rsid w:val="00803CF3"/>
    <w:rsid w:val="00806EAB"/>
    <w:rsid w:val="00810E52"/>
    <w:rsid w:val="00811CA7"/>
    <w:rsid w:val="0081636E"/>
    <w:rsid w:val="0082112E"/>
    <w:rsid w:val="00822F2B"/>
    <w:rsid w:val="00823D9A"/>
    <w:rsid w:val="00827EA4"/>
    <w:rsid w:val="008301D6"/>
    <w:rsid w:val="008305B7"/>
    <w:rsid w:val="00830C78"/>
    <w:rsid w:val="00830FB9"/>
    <w:rsid w:val="00834968"/>
    <w:rsid w:val="00834B53"/>
    <w:rsid w:val="00840298"/>
    <w:rsid w:val="00841BE4"/>
    <w:rsid w:val="00845A53"/>
    <w:rsid w:val="00847E8C"/>
    <w:rsid w:val="008505E1"/>
    <w:rsid w:val="00850B19"/>
    <w:rsid w:val="00852488"/>
    <w:rsid w:val="0085405E"/>
    <w:rsid w:val="008571DD"/>
    <w:rsid w:val="0085772E"/>
    <w:rsid w:val="00860344"/>
    <w:rsid w:val="00860E2C"/>
    <w:rsid w:val="00864BC6"/>
    <w:rsid w:val="00865EE6"/>
    <w:rsid w:val="00870D23"/>
    <w:rsid w:val="00872B72"/>
    <w:rsid w:val="00873022"/>
    <w:rsid w:val="00876468"/>
    <w:rsid w:val="008767E1"/>
    <w:rsid w:val="00876CC7"/>
    <w:rsid w:val="008804AD"/>
    <w:rsid w:val="008823E4"/>
    <w:rsid w:val="008837C4"/>
    <w:rsid w:val="008849F3"/>
    <w:rsid w:val="00884E78"/>
    <w:rsid w:val="0088673B"/>
    <w:rsid w:val="00887265"/>
    <w:rsid w:val="00887500"/>
    <w:rsid w:val="008905AD"/>
    <w:rsid w:val="008920F2"/>
    <w:rsid w:val="0089348A"/>
    <w:rsid w:val="00894E9F"/>
    <w:rsid w:val="00895424"/>
    <w:rsid w:val="00896CEC"/>
    <w:rsid w:val="008A06BC"/>
    <w:rsid w:val="008A0AA3"/>
    <w:rsid w:val="008A0EAA"/>
    <w:rsid w:val="008A149F"/>
    <w:rsid w:val="008A19FD"/>
    <w:rsid w:val="008A1A25"/>
    <w:rsid w:val="008A4E05"/>
    <w:rsid w:val="008A56DB"/>
    <w:rsid w:val="008A6CFC"/>
    <w:rsid w:val="008B2125"/>
    <w:rsid w:val="008B25D4"/>
    <w:rsid w:val="008B38E5"/>
    <w:rsid w:val="008B58C4"/>
    <w:rsid w:val="008B6CD2"/>
    <w:rsid w:val="008B72DD"/>
    <w:rsid w:val="008C050B"/>
    <w:rsid w:val="008C1132"/>
    <w:rsid w:val="008C302A"/>
    <w:rsid w:val="008C3E42"/>
    <w:rsid w:val="008C4B72"/>
    <w:rsid w:val="008C5279"/>
    <w:rsid w:val="008C527D"/>
    <w:rsid w:val="008C5C9F"/>
    <w:rsid w:val="008C6773"/>
    <w:rsid w:val="008C72BB"/>
    <w:rsid w:val="008D140C"/>
    <w:rsid w:val="008D2BAE"/>
    <w:rsid w:val="008D2C9E"/>
    <w:rsid w:val="008D41F5"/>
    <w:rsid w:val="008D521F"/>
    <w:rsid w:val="008D5C06"/>
    <w:rsid w:val="008D6227"/>
    <w:rsid w:val="008D7A8B"/>
    <w:rsid w:val="008E41D3"/>
    <w:rsid w:val="008E43F1"/>
    <w:rsid w:val="008E594F"/>
    <w:rsid w:val="008E7312"/>
    <w:rsid w:val="008F297F"/>
    <w:rsid w:val="008F447E"/>
    <w:rsid w:val="00904BA9"/>
    <w:rsid w:val="00904E7E"/>
    <w:rsid w:val="0091086B"/>
    <w:rsid w:val="00911129"/>
    <w:rsid w:val="00912EA3"/>
    <w:rsid w:val="00914B6E"/>
    <w:rsid w:val="009156A2"/>
    <w:rsid w:val="0091579A"/>
    <w:rsid w:val="0091615D"/>
    <w:rsid w:val="00923F7E"/>
    <w:rsid w:val="00924C96"/>
    <w:rsid w:val="00925030"/>
    <w:rsid w:val="00925B32"/>
    <w:rsid w:val="00930A64"/>
    <w:rsid w:val="00930BE5"/>
    <w:rsid w:val="00931403"/>
    <w:rsid w:val="00934991"/>
    <w:rsid w:val="009351A7"/>
    <w:rsid w:val="009426B9"/>
    <w:rsid w:val="00944E85"/>
    <w:rsid w:val="0094634C"/>
    <w:rsid w:val="009463AB"/>
    <w:rsid w:val="00950239"/>
    <w:rsid w:val="00950332"/>
    <w:rsid w:val="00955899"/>
    <w:rsid w:val="00955A03"/>
    <w:rsid w:val="0096203D"/>
    <w:rsid w:val="0096224A"/>
    <w:rsid w:val="00963289"/>
    <w:rsid w:val="00964A78"/>
    <w:rsid w:val="009656B4"/>
    <w:rsid w:val="00966CA0"/>
    <w:rsid w:val="00966D74"/>
    <w:rsid w:val="00967F9D"/>
    <w:rsid w:val="00970275"/>
    <w:rsid w:val="00970ABF"/>
    <w:rsid w:val="009710E2"/>
    <w:rsid w:val="00971165"/>
    <w:rsid w:val="00972E9C"/>
    <w:rsid w:val="0097391E"/>
    <w:rsid w:val="00973DF3"/>
    <w:rsid w:val="009742DA"/>
    <w:rsid w:val="009743BE"/>
    <w:rsid w:val="009753A0"/>
    <w:rsid w:val="00977437"/>
    <w:rsid w:val="00977C89"/>
    <w:rsid w:val="00980AB3"/>
    <w:rsid w:val="009848CB"/>
    <w:rsid w:val="00984D10"/>
    <w:rsid w:val="0098600B"/>
    <w:rsid w:val="009861C1"/>
    <w:rsid w:val="00987177"/>
    <w:rsid w:val="00987F11"/>
    <w:rsid w:val="0099128D"/>
    <w:rsid w:val="009917F1"/>
    <w:rsid w:val="00991E37"/>
    <w:rsid w:val="00991E74"/>
    <w:rsid w:val="009926A6"/>
    <w:rsid w:val="0099415E"/>
    <w:rsid w:val="009948BF"/>
    <w:rsid w:val="00995320"/>
    <w:rsid w:val="009953CA"/>
    <w:rsid w:val="00997844"/>
    <w:rsid w:val="009978C2"/>
    <w:rsid w:val="009A345F"/>
    <w:rsid w:val="009A4AE5"/>
    <w:rsid w:val="009A5218"/>
    <w:rsid w:val="009A6806"/>
    <w:rsid w:val="009B1717"/>
    <w:rsid w:val="009B22D2"/>
    <w:rsid w:val="009B2839"/>
    <w:rsid w:val="009B4C17"/>
    <w:rsid w:val="009B5BF6"/>
    <w:rsid w:val="009C1C79"/>
    <w:rsid w:val="009C339C"/>
    <w:rsid w:val="009C33B8"/>
    <w:rsid w:val="009D07A0"/>
    <w:rsid w:val="009D107D"/>
    <w:rsid w:val="009D1871"/>
    <w:rsid w:val="009D2985"/>
    <w:rsid w:val="009D3033"/>
    <w:rsid w:val="009D5770"/>
    <w:rsid w:val="009D6AF5"/>
    <w:rsid w:val="009D6CF1"/>
    <w:rsid w:val="009D74BA"/>
    <w:rsid w:val="009E0874"/>
    <w:rsid w:val="009E1A16"/>
    <w:rsid w:val="009E2045"/>
    <w:rsid w:val="009E4A84"/>
    <w:rsid w:val="009E6973"/>
    <w:rsid w:val="009F0466"/>
    <w:rsid w:val="009F4200"/>
    <w:rsid w:val="009F4933"/>
    <w:rsid w:val="009F5FD0"/>
    <w:rsid w:val="009F6DD5"/>
    <w:rsid w:val="009F7B12"/>
    <w:rsid w:val="00A020A2"/>
    <w:rsid w:val="00A0297B"/>
    <w:rsid w:val="00A0358E"/>
    <w:rsid w:val="00A049F9"/>
    <w:rsid w:val="00A0529B"/>
    <w:rsid w:val="00A0766F"/>
    <w:rsid w:val="00A10187"/>
    <w:rsid w:val="00A10713"/>
    <w:rsid w:val="00A1252C"/>
    <w:rsid w:val="00A13B8B"/>
    <w:rsid w:val="00A151B7"/>
    <w:rsid w:val="00A17FDD"/>
    <w:rsid w:val="00A21225"/>
    <w:rsid w:val="00A2139C"/>
    <w:rsid w:val="00A218F9"/>
    <w:rsid w:val="00A21E37"/>
    <w:rsid w:val="00A23314"/>
    <w:rsid w:val="00A235BB"/>
    <w:rsid w:val="00A23F10"/>
    <w:rsid w:val="00A23F72"/>
    <w:rsid w:val="00A26AB8"/>
    <w:rsid w:val="00A322BF"/>
    <w:rsid w:val="00A3373F"/>
    <w:rsid w:val="00A33F51"/>
    <w:rsid w:val="00A349DF"/>
    <w:rsid w:val="00A40311"/>
    <w:rsid w:val="00A41032"/>
    <w:rsid w:val="00A4106C"/>
    <w:rsid w:val="00A428E7"/>
    <w:rsid w:val="00A43E49"/>
    <w:rsid w:val="00A44018"/>
    <w:rsid w:val="00A45DE9"/>
    <w:rsid w:val="00A47471"/>
    <w:rsid w:val="00A47E22"/>
    <w:rsid w:val="00A47ED0"/>
    <w:rsid w:val="00A509EA"/>
    <w:rsid w:val="00A51476"/>
    <w:rsid w:val="00A526D2"/>
    <w:rsid w:val="00A54412"/>
    <w:rsid w:val="00A5498B"/>
    <w:rsid w:val="00A550C8"/>
    <w:rsid w:val="00A5564C"/>
    <w:rsid w:val="00A559EC"/>
    <w:rsid w:val="00A569F8"/>
    <w:rsid w:val="00A56E60"/>
    <w:rsid w:val="00A571B3"/>
    <w:rsid w:val="00A626B5"/>
    <w:rsid w:val="00A62DF0"/>
    <w:rsid w:val="00A63620"/>
    <w:rsid w:val="00A63ECE"/>
    <w:rsid w:val="00A66342"/>
    <w:rsid w:val="00A665C8"/>
    <w:rsid w:val="00A6749E"/>
    <w:rsid w:val="00A70D88"/>
    <w:rsid w:val="00A71142"/>
    <w:rsid w:val="00A72895"/>
    <w:rsid w:val="00A74589"/>
    <w:rsid w:val="00A74E1B"/>
    <w:rsid w:val="00A7513A"/>
    <w:rsid w:val="00A75AC9"/>
    <w:rsid w:val="00A75B25"/>
    <w:rsid w:val="00A76AEE"/>
    <w:rsid w:val="00A801B4"/>
    <w:rsid w:val="00A80C9D"/>
    <w:rsid w:val="00A82075"/>
    <w:rsid w:val="00A82192"/>
    <w:rsid w:val="00A857AB"/>
    <w:rsid w:val="00A90009"/>
    <w:rsid w:val="00A927A4"/>
    <w:rsid w:val="00A94CC0"/>
    <w:rsid w:val="00A9534A"/>
    <w:rsid w:val="00A957FA"/>
    <w:rsid w:val="00A968DC"/>
    <w:rsid w:val="00A977BA"/>
    <w:rsid w:val="00AA1A89"/>
    <w:rsid w:val="00AA346E"/>
    <w:rsid w:val="00AA3770"/>
    <w:rsid w:val="00AA3CFA"/>
    <w:rsid w:val="00AA41C3"/>
    <w:rsid w:val="00AA423C"/>
    <w:rsid w:val="00AA53E2"/>
    <w:rsid w:val="00AA73FD"/>
    <w:rsid w:val="00AB2F87"/>
    <w:rsid w:val="00AB32C3"/>
    <w:rsid w:val="00AB5E2B"/>
    <w:rsid w:val="00AB6069"/>
    <w:rsid w:val="00AB6467"/>
    <w:rsid w:val="00AC0575"/>
    <w:rsid w:val="00AC0758"/>
    <w:rsid w:val="00AC0934"/>
    <w:rsid w:val="00AC17EE"/>
    <w:rsid w:val="00AC2BFD"/>
    <w:rsid w:val="00AC4DDD"/>
    <w:rsid w:val="00AC5A43"/>
    <w:rsid w:val="00AC5D2C"/>
    <w:rsid w:val="00AC6B6D"/>
    <w:rsid w:val="00AD3559"/>
    <w:rsid w:val="00AD3B05"/>
    <w:rsid w:val="00AD3C8E"/>
    <w:rsid w:val="00AD470D"/>
    <w:rsid w:val="00AD5193"/>
    <w:rsid w:val="00AD7390"/>
    <w:rsid w:val="00AD7E6F"/>
    <w:rsid w:val="00AE1BD8"/>
    <w:rsid w:val="00AE2817"/>
    <w:rsid w:val="00AE304B"/>
    <w:rsid w:val="00AE3D3E"/>
    <w:rsid w:val="00AE49B2"/>
    <w:rsid w:val="00AE6BEB"/>
    <w:rsid w:val="00AE7789"/>
    <w:rsid w:val="00AF32EA"/>
    <w:rsid w:val="00AF3DED"/>
    <w:rsid w:val="00AF48B1"/>
    <w:rsid w:val="00AF4FB8"/>
    <w:rsid w:val="00AF6713"/>
    <w:rsid w:val="00AF6BD6"/>
    <w:rsid w:val="00AF753A"/>
    <w:rsid w:val="00B021ED"/>
    <w:rsid w:val="00B0250D"/>
    <w:rsid w:val="00B032B1"/>
    <w:rsid w:val="00B03F46"/>
    <w:rsid w:val="00B059B8"/>
    <w:rsid w:val="00B07418"/>
    <w:rsid w:val="00B11547"/>
    <w:rsid w:val="00B11EF0"/>
    <w:rsid w:val="00B1226C"/>
    <w:rsid w:val="00B14F05"/>
    <w:rsid w:val="00B15D01"/>
    <w:rsid w:val="00B20EBF"/>
    <w:rsid w:val="00B24F44"/>
    <w:rsid w:val="00B25428"/>
    <w:rsid w:val="00B255BB"/>
    <w:rsid w:val="00B25E24"/>
    <w:rsid w:val="00B2609A"/>
    <w:rsid w:val="00B301B1"/>
    <w:rsid w:val="00B353E7"/>
    <w:rsid w:val="00B35759"/>
    <w:rsid w:val="00B35BCA"/>
    <w:rsid w:val="00B3619A"/>
    <w:rsid w:val="00B365B7"/>
    <w:rsid w:val="00B40BCA"/>
    <w:rsid w:val="00B4308D"/>
    <w:rsid w:val="00B440DA"/>
    <w:rsid w:val="00B4415A"/>
    <w:rsid w:val="00B503CD"/>
    <w:rsid w:val="00B548AB"/>
    <w:rsid w:val="00B54BBE"/>
    <w:rsid w:val="00B553F8"/>
    <w:rsid w:val="00B560B6"/>
    <w:rsid w:val="00B5630E"/>
    <w:rsid w:val="00B62FB6"/>
    <w:rsid w:val="00B635BF"/>
    <w:rsid w:val="00B7050A"/>
    <w:rsid w:val="00B70904"/>
    <w:rsid w:val="00B70A42"/>
    <w:rsid w:val="00B74791"/>
    <w:rsid w:val="00B76AF9"/>
    <w:rsid w:val="00B8115B"/>
    <w:rsid w:val="00B81AE2"/>
    <w:rsid w:val="00B82D30"/>
    <w:rsid w:val="00B87F62"/>
    <w:rsid w:val="00B914A4"/>
    <w:rsid w:val="00B92497"/>
    <w:rsid w:val="00B92D41"/>
    <w:rsid w:val="00B93679"/>
    <w:rsid w:val="00B9422D"/>
    <w:rsid w:val="00B95A1D"/>
    <w:rsid w:val="00B9634B"/>
    <w:rsid w:val="00BA5072"/>
    <w:rsid w:val="00BA5B65"/>
    <w:rsid w:val="00BA7BFE"/>
    <w:rsid w:val="00BB0ECA"/>
    <w:rsid w:val="00BB246B"/>
    <w:rsid w:val="00BB4F49"/>
    <w:rsid w:val="00BB60F7"/>
    <w:rsid w:val="00BB6B2D"/>
    <w:rsid w:val="00BB7375"/>
    <w:rsid w:val="00BC0500"/>
    <w:rsid w:val="00BC44F5"/>
    <w:rsid w:val="00BC500B"/>
    <w:rsid w:val="00BC547C"/>
    <w:rsid w:val="00BC6B29"/>
    <w:rsid w:val="00BC798C"/>
    <w:rsid w:val="00BC7D11"/>
    <w:rsid w:val="00BD00FD"/>
    <w:rsid w:val="00BD15A2"/>
    <w:rsid w:val="00BD2153"/>
    <w:rsid w:val="00BD337A"/>
    <w:rsid w:val="00BD558D"/>
    <w:rsid w:val="00BD5CC3"/>
    <w:rsid w:val="00BE18A6"/>
    <w:rsid w:val="00BE1F47"/>
    <w:rsid w:val="00BE24AD"/>
    <w:rsid w:val="00BE2787"/>
    <w:rsid w:val="00BE51BB"/>
    <w:rsid w:val="00BE7ECD"/>
    <w:rsid w:val="00BF1682"/>
    <w:rsid w:val="00BF241A"/>
    <w:rsid w:val="00BF3AFB"/>
    <w:rsid w:val="00BF3DD2"/>
    <w:rsid w:val="00BF4344"/>
    <w:rsid w:val="00BF6970"/>
    <w:rsid w:val="00BF69C6"/>
    <w:rsid w:val="00C005D8"/>
    <w:rsid w:val="00C02F31"/>
    <w:rsid w:val="00C04DA5"/>
    <w:rsid w:val="00C050FC"/>
    <w:rsid w:val="00C05D40"/>
    <w:rsid w:val="00C11905"/>
    <w:rsid w:val="00C14462"/>
    <w:rsid w:val="00C16542"/>
    <w:rsid w:val="00C22382"/>
    <w:rsid w:val="00C2355B"/>
    <w:rsid w:val="00C266C1"/>
    <w:rsid w:val="00C274A6"/>
    <w:rsid w:val="00C34201"/>
    <w:rsid w:val="00C35A38"/>
    <w:rsid w:val="00C35EC9"/>
    <w:rsid w:val="00C36807"/>
    <w:rsid w:val="00C37392"/>
    <w:rsid w:val="00C41545"/>
    <w:rsid w:val="00C4209D"/>
    <w:rsid w:val="00C432B3"/>
    <w:rsid w:val="00C4771E"/>
    <w:rsid w:val="00C47D15"/>
    <w:rsid w:val="00C50279"/>
    <w:rsid w:val="00C505EC"/>
    <w:rsid w:val="00C5165A"/>
    <w:rsid w:val="00C52841"/>
    <w:rsid w:val="00C54FC6"/>
    <w:rsid w:val="00C56F88"/>
    <w:rsid w:val="00C57B7E"/>
    <w:rsid w:val="00C60217"/>
    <w:rsid w:val="00C66D15"/>
    <w:rsid w:val="00C671D0"/>
    <w:rsid w:val="00C70449"/>
    <w:rsid w:val="00C7071B"/>
    <w:rsid w:val="00C73904"/>
    <w:rsid w:val="00C73BAE"/>
    <w:rsid w:val="00C73F7B"/>
    <w:rsid w:val="00C74055"/>
    <w:rsid w:val="00C7421D"/>
    <w:rsid w:val="00C76481"/>
    <w:rsid w:val="00C76812"/>
    <w:rsid w:val="00C83D88"/>
    <w:rsid w:val="00C84961"/>
    <w:rsid w:val="00C84B06"/>
    <w:rsid w:val="00C87100"/>
    <w:rsid w:val="00C87CAC"/>
    <w:rsid w:val="00C913A1"/>
    <w:rsid w:val="00C950D6"/>
    <w:rsid w:val="00C97646"/>
    <w:rsid w:val="00C97672"/>
    <w:rsid w:val="00CA55BD"/>
    <w:rsid w:val="00CA7A63"/>
    <w:rsid w:val="00CB0837"/>
    <w:rsid w:val="00CB2BFA"/>
    <w:rsid w:val="00CB3888"/>
    <w:rsid w:val="00CB400E"/>
    <w:rsid w:val="00CB48F6"/>
    <w:rsid w:val="00CB5F04"/>
    <w:rsid w:val="00CB67F1"/>
    <w:rsid w:val="00CB7DC8"/>
    <w:rsid w:val="00CC0EC0"/>
    <w:rsid w:val="00CC34DB"/>
    <w:rsid w:val="00CC51AC"/>
    <w:rsid w:val="00CC609D"/>
    <w:rsid w:val="00CC7044"/>
    <w:rsid w:val="00CD11FF"/>
    <w:rsid w:val="00CD15E7"/>
    <w:rsid w:val="00CD6E71"/>
    <w:rsid w:val="00CE07A9"/>
    <w:rsid w:val="00CE1012"/>
    <w:rsid w:val="00CE419E"/>
    <w:rsid w:val="00CE5011"/>
    <w:rsid w:val="00CE574A"/>
    <w:rsid w:val="00CE5DC5"/>
    <w:rsid w:val="00CE629E"/>
    <w:rsid w:val="00CE66CE"/>
    <w:rsid w:val="00CE77AA"/>
    <w:rsid w:val="00CE7B59"/>
    <w:rsid w:val="00CF352C"/>
    <w:rsid w:val="00CF4570"/>
    <w:rsid w:val="00CF58EE"/>
    <w:rsid w:val="00D00811"/>
    <w:rsid w:val="00D02A43"/>
    <w:rsid w:val="00D04518"/>
    <w:rsid w:val="00D05489"/>
    <w:rsid w:val="00D05CA1"/>
    <w:rsid w:val="00D061CB"/>
    <w:rsid w:val="00D0796C"/>
    <w:rsid w:val="00D07B7D"/>
    <w:rsid w:val="00D11A35"/>
    <w:rsid w:val="00D13130"/>
    <w:rsid w:val="00D146D4"/>
    <w:rsid w:val="00D14B3C"/>
    <w:rsid w:val="00D14BA5"/>
    <w:rsid w:val="00D16580"/>
    <w:rsid w:val="00D20E20"/>
    <w:rsid w:val="00D21C3A"/>
    <w:rsid w:val="00D228DA"/>
    <w:rsid w:val="00D22E01"/>
    <w:rsid w:val="00D238A5"/>
    <w:rsid w:val="00D24621"/>
    <w:rsid w:val="00D2600F"/>
    <w:rsid w:val="00D30EEA"/>
    <w:rsid w:val="00D31534"/>
    <w:rsid w:val="00D32C1F"/>
    <w:rsid w:val="00D33FC2"/>
    <w:rsid w:val="00D37394"/>
    <w:rsid w:val="00D45A3A"/>
    <w:rsid w:val="00D46699"/>
    <w:rsid w:val="00D47345"/>
    <w:rsid w:val="00D5073F"/>
    <w:rsid w:val="00D51573"/>
    <w:rsid w:val="00D5399A"/>
    <w:rsid w:val="00D5444F"/>
    <w:rsid w:val="00D54E0D"/>
    <w:rsid w:val="00D54F7D"/>
    <w:rsid w:val="00D57528"/>
    <w:rsid w:val="00D602CA"/>
    <w:rsid w:val="00D60DD8"/>
    <w:rsid w:val="00D64C6C"/>
    <w:rsid w:val="00D66D42"/>
    <w:rsid w:val="00D71734"/>
    <w:rsid w:val="00D7244A"/>
    <w:rsid w:val="00D72BCC"/>
    <w:rsid w:val="00D746C0"/>
    <w:rsid w:val="00D74723"/>
    <w:rsid w:val="00D76091"/>
    <w:rsid w:val="00D76B9C"/>
    <w:rsid w:val="00D76D82"/>
    <w:rsid w:val="00D77D65"/>
    <w:rsid w:val="00D80448"/>
    <w:rsid w:val="00D80C4F"/>
    <w:rsid w:val="00D8149F"/>
    <w:rsid w:val="00D814FB"/>
    <w:rsid w:val="00D83D95"/>
    <w:rsid w:val="00D90293"/>
    <w:rsid w:val="00D90496"/>
    <w:rsid w:val="00D917BC"/>
    <w:rsid w:val="00D942DE"/>
    <w:rsid w:val="00D9491E"/>
    <w:rsid w:val="00DA070D"/>
    <w:rsid w:val="00DA3B2F"/>
    <w:rsid w:val="00DA4731"/>
    <w:rsid w:val="00DA5040"/>
    <w:rsid w:val="00DA7D5F"/>
    <w:rsid w:val="00DB053E"/>
    <w:rsid w:val="00DB11B2"/>
    <w:rsid w:val="00DB161E"/>
    <w:rsid w:val="00DB31B5"/>
    <w:rsid w:val="00DB4DE3"/>
    <w:rsid w:val="00DB5BBA"/>
    <w:rsid w:val="00DC03DB"/>
    <w:rsid w:val="00DC1206"/>
    <w:rsid w:val="00DC2BE8"/>
    <w:rsid w:val="00DC2BEC"/>
    <w:rsid w:val="00DC3256"/>
    <w:rsid w:val="00DC35A6"/>
    <w:rsid w:val="00DD090A"/>
    <w:rsid w:val="00DD2421"/>
    <w:rsid w:val="00DD3222"/>
    <w:rsid w:val="00DD3D81"/>
    <w:rsid w:val="00DD571C"/>
    <w:rsid w:val="00DD64E1"/>
    <w:rsid w:val="00DE039A"/>
    <w:rsid w:val="00DE0403"/>
    <w:rsid w:val="00DE4811"/>
    <w:rsid w:val="00DE5458"/>
    <w:rsid w:val="00DE5EE6"/>
    <w:rsid w:val="00DE77EA"/>
    <w:rsid w:val="00DF0ABA"/>
    <w:rsid w:val="00DF1EEE"/>
    <w:rsid w:val="00DF6C58"/>
    <w:rsid w:val="00E001C1"/>
    <w:rsid w:val="00E039F3"/>
    <w:rsid w:val="00E03C30"/>
    <w:rsid w:val="00E05051"/>
    <w:rsid w:val="00E078BD"/>
    <w:rsid w:val="00E078F8"/>
    <w:rsid w:val="00E1142B"/>
    <w:rsid w:val="00E11F10"/>
    <w:rsid w:val="00E157E4"/>
    <w:rsid w:val="00E15950"/>
    <w:rsid w:val="00E16522"/>
    <w:rsid w:val="00E1750C"/>
    <w:rsid w:val="00E178A6"/>
    <w:rsid w:val="00E20545"/>
    <w:rsid w:val="00E223C6"/>
    <w:rsid w:val="00E2443D"/>
    <w:rsid w:val="00E24789"/>
    <w:rsid w:val="00E26615"/>
    <w:rsid w:val="00E26F37"/>
    <w:rsid w:val="00E33928"/>
    <w:rsid w:val="00E33C90"/>
    <w:rsid w:val="00E34D15"/>
    <w:rsid w:val="00E35E86"/>
    <w:rsid w:val="00E36B45"/>
    <w:rsid w:val="00E37BF1"/>
    <w:rsid w:val="00E428B3"/>
    <w:rsid w:val="00E44D19"/>
    <w:rsid w:val="00E51372"/>
    <w:rsid w:val="00E51CAF"/>
    <w:rsid w:val="00E51E95"/>
    <w:rsid w:val="00E51F9D"/>
    <w:rsid w:val="00E5202F"/>
    <w:rsid w:val="00E5211A"/>
    <w:rsid w:val="00E53A9F"/>
    <w:rsid w:val="00E549AF"/>
    <w:rsid w:val="00E56E13"/>
    <w:rsid w:val="00E60540"/>
    <w:rsid w:val="00E61C74"/>
    <w:rsid w:val="00E63D8F"/>
    <w:rsid w:val="00E706B6"/>
    <w:rsid w:val="00E76FF1"/>
    <w:rsid w:val="00E774FE"/>
    <w:rsid w:val="00E809A0"/>
    <w:rsid w:val="00E80AF7"/>
    <w:rsid w:val="00E84407"/>
    <w:rsid w:val="00E85E54"/>
    <w:rsid w:val="00E86146"/>
    <w:rsid w:val="00E86A76"/>
    <w:rsid w:val="00E87A90"/>
    <w:rsid w:val="00E904D1"/>
    <w:rsid w:val="00E92425"/>
    <w:rsid w:val="00E92AD3"/>
    <w:rsid w:val="00E954AE"/>
    <w:rsid w:val="00E959EA"/>
    <w:rsid w:val="00E96237"/>
    <w:rsid w:val="00E965D7"/>
    <w:rsid w:val="00E96D30"/>
    <w:rsid w:val="00EA1327"/>
    <w:rsid w:val="00EA623C"/>
    <w:rsid w:val="00EA6395"/>
    <w:rsid w:val="00EB044B"/>
    <w:rsid w:val="00EB067C"/>
    <w:rsid w:val="00EB3C66"/>
    <w:rsid w:val="00EB4B03"/>
    <w:rsid w:val="00EB5DEE"/>
    <w:rsid w:val="00EB64CB"/>
    <w:rsid w:val="00EB6D46"/>
    <w:rsid w:val="00EC07F3"/>
    <w:rsid w:val="00EC3194"/>
    <w:rsid w:val="00EC518D"/>
    <w:rsid w:val="00EC71D3"/>
    <w:rsid w:val="00ED02FE"/>
    <w:rsid w:val="00ED1EC9"/>
    <w:rsid w:val="00ED3737"/>
    <w:rsid w:val="00ED3856"/>
    <w:rsid w:val="00ED3E2E"/>
    <w:rsid w:val="00ED4CC8"/>
    <w:rsid w:val="00ED4E5C"/>
    <w:rsid w:val="00ED547D"/>
    <w:rsid w:val="00ED6A08"/>
    <w:rsid w:val="00EE05EE"/>
    <w:rsid w:val="00EE0AE2"/>
    <w:rsid w:val="00EE35B4"/>
    <w:rsid w:val="00EE5643"/>
    <w:rsid w:val="00EE7CEC"/>
    <w:rsid w:val="00EF056E"/>
    <w:rsid w:val="00EF09B3"/>
    <w:rsid w:val="00EF0A3E"/>
    <w:rsid w:val="00EF5EC6"/>
    <w:rsid w:val="00EF646F"/>
    <w:rsid w:val="00EF791E"/>
    <w:rsid w:val="00EF7A63"/>
    <w:rsid w:val="00F00D58"/>
    <w:rsid w:val="00F0226C"/>
    <w:rsid w:val="00F02522"/>
    <w:rsid w:val="00F02AE0"/>
    <w:rsid w:val="00F02BFF"/>
    <w:rsid w:val="00F034DC"/>
    <w:rsid w:val="00F03953"/>
    <w:rsid w:val="00F04841"/>
    <w:rsid w:val="00F0579A"/>
    <w:rsid w:val="00F0674D"/>
    <w:rsid w:val="00F10287"/>
    <w:rsid w:val="00F10C82"/>
    <w:rsid w:val="00F13B2E"/>
    <w:rsid w:val="00F176A0"/>
    <w:rsid w:val="00F20174"/>
    <w:rsid w:val="00F22098"/>
    <w:rsid w:val="00F223BC"/>
    <w:rsid w:val="00F23780"/>
    <w:rsid w:val="00F26185"/>
    <w:rsid w:val="00F3178C"/>
    <w:rsid w:val="00F33DE5"/>
    <w:rsid w:val="00F34B8F"/>
    <w:rsid w:val="00F36D7F"/>
    <w:rsid w:val="00F37186"/>
    <w:rsid w:val="00F42FCF"/>
    <w:rsid w:val="00F44A83"/>
    <w:rsid w:val="00F51743"/>
    <w:rsid w:val="00F529D4"/>
    <w:rsid w:val="00F54F27"/>
    <w:rsid w:val="00F55FC8"/>
    <w:rsid w:val="00F604E3"/>
    <w:rsid w:val="00F610E6"/>
    <w:rsid w:val="00F61FCC"/>
    <w:rsid w:val="00F66036"/>
    <w:rsid w:val="00F6689D"/>
    <w:rsid w:val="00F67E23"/>
    <w:rsid w:val="00F702A8"/>
    <w:rsid w:val="00F71601"/>
    <w:rsid w:val="00F72C75"/>
    <w:rsid w:val="00F74033"/>
    <w:rsid w:val="00F759EB"/>
    <w:rsid w:val="00F772F7"/>
    <w:rsid w:val="00F81334"/>
    <w:rsid w:val="00F81A81"/>
    <w:rsid w:val="00F81CC5"/>
    <w:rsid w:val="00F8760D"/>
    <w:rsid w:val="00F87AAD"/>
    <w:rsid w:val="00F9174C"/>
    <w:rsid w:val="00F91D5C"/>
    <w:rsid w:val="00F92097"/>
    <w:rsid w:val="00F951DB"/>
    <w:rsid w:val="00F9574A"/>
    <w:rsid w:val="00F95D64"/>
    <w:rsid w:val="00F9793B"/>
    <w:rsid w:val="00FA0EAA"/>
    <w:rsid w:val="00FA0F53"/>
    <w:rsid w:val="00FA1DA9"/>
    <w:rsid w:val="00FA3809"/>
    <w:rsid w:val="00FA3A95"/>
    <w:rsid w:val="00FA6D7E"/>
    <w:rsid w:val="00FB020D"/>
    <w:rsid w:val="00FB3F33"/>
    <w:rsid w:val="00FB43E4"/>
    <w:rsid w:val="00FB4889"/>
    <w:rsid w:val="00FB676C"/>
    <w:rsid w:val="00FB67CC"/>
    <w:rsid w:val="00FB728E"/>
    <w:rsid w:val="00FC0ADE"/>
    <w:rsid w:val="00FC0FF1"/>
    <w:rsid w:val="00FC1FDF"/>
    <w:rsid w:val="00FC3360"/>
    <w:rsid w:val="00FC3E27"/>
    <w:rsid w:val="00FC493B"/>
    <w:rsid w:val="00FC63E5"/>
    <w:rsid w:val="00FD0E54"/>
    <w:rsid w:val="00FD2B71"/>
    <w:rsid w:val="00FD3006"/>
    <w:rsid w:val="00FD3576"/>
    <w:rsid w:val="00FD52D6"/>
    <w:rsid w:val="00FD56FC"/>
    <w:rsid w:val="00FD752B"/>
    <w:rsid w:val="00FD7DD7"/>
    <w:rsid w:val="00FD7EB3"/>
    <w:rsid w:val="00FE033E"/>
    <w:rsid w:val="00FE0D2F"/>
    <w:rsid w:val="00FE31C6"/>
    <w:rsid w:val="00FE4A65"/>
    <w:rsid w:val="00FE51E8"/>
    <w:rsid w:val="00FE602F"/>
    <w:rsid w:val="00FE7611"/>
    <w:rsid w:val="00FF0769"/>
    <w:rsid w:val="00FF0DB8"/>
    <w:rsid w:val="00FF1A76"/>
    <w:rsid w:val="00FF1C1D"/>
    <w:rsid w:val="00FF3330"/>
    <w:rsid w:val="00FF4080"/>
    <w:rsid w:val="00FF40A5"/>
    <w:rsid w:val="00FF48DA"/>
    <w:rsid w:val="00FF5E19"/>
    <w:rsid w:val="00FF61AD"/>
    <w:rsid w:val="00FF76BD"/>
    <w:rsid w:val="01213318"/>
    <w:rsid w:val="044F0D6F"/>
    <w:rsid w:val="06582202"/>
    <w:rsid w:val="074B28A4"/>
    <w:rsid w:val="07823134"/>
    <w:rsid w:val="09E01037"/>
    <w:rsid w:val="0AD66CAE"/>
    <w:rsid w:val="0AE94B37"/>
    <w:rsid w:val="0C513E99"/>
    <w:rsid w:val="0D030185"/>
    <w:rsid w:val="0D4C7E82"/>
    <w:rsid w:val="0FAC6CD6"/>
    <w:rsid w:val="0FB67285"/>
    <w:rsid w:val="10C16EB7"/>
    <w:rsid w:val="13A31CD4"/>
    <w:rsid w:val="1477016C"/>
    <w:rsid w:val="149511CE"/>
    <w:rsid w:val="14F5622F"/>
    <w:rsid w:val="16DF591A"/>
    <w:rsid w:val="17D67D47"/>
    <w:rsid w:val="191A0E8B"/>
    <w:rsid w:val="1AA56983"/>
    <w:rsid w:val="1B0D17EF"/>
    <w:rsid w:val="1E0D2285"/>
    <w:rsid w:val="1F6B2440"/>
    <w:rsid w:val="211645C6"/>
    <w:rsid w:val="22231F38"/>
    <w:rsid w:val="223B4FDD"/>
    <w:rsid w:val="226517C9"/>
    <w:rsid w:val="23382585"/>
    <w:rsid w:val="290F3DA7"/>
    <w:rsid w:val="29F81F6F"/>
    <w:rsid w:val="2B0E3FF3"/>
    <w:rsid w:val="2C3B46E3"/>
    <w:rsid w:val="2CCB2770"/>
    <w:rsid w:val="2E4B2AA6"/>
    <w:rsid w:val="32534043"/>
    <w:rsid w:val="343C0DE9"/>
    <w:rsid w:val="344F14B0"/>
    <w:rsid w:val="365420B9"/>
    <w:rsid w:val="36C23BC9"/>
    <w:rsid w:val="3BD952C2"/>
    <w:rsid w:val="3CB63496"/>
    <w:rsid w:val="402A7270"/>
    <w:rsid w:val="41923405"/>
    <w:rsid w:val="44164DAE"/>
    <w:rsid w:val="45F50632"/>
    <w:rsid w:val="47E8188E"/>
    <w:rsid w:val="4B38501D"/>
    <w:rsid w:val="4B6A3906"/>
    <w:rsid w:val="4B8C7D94"/>
    <w:rsid w:val="4BB93DCD"/>
    <w:rsid w:val="4C03392E"/>
    <w:rsid w:val="4D8602C2"/>
    <w:rsid w:val="4DB57604"/>
    <w:rsid w:val="4E9C3B15"/>
    <w:rsid w:val="4F030A2B"/>
    <w:rsid w:val="4F7C2C0E"/>
    <w:rsid w:val="50E33DA8"/>
    <w:rsid w:val="527A551C"/>
    <w:rsid w:val="52E00474"/>
    <w:rsid w:val="55604C10"/>
    <w:rsid w:val="55F708FD"/>
    <w:rsid w:val="56145632"/>
    <w:rsid w:val="57B35854"/>
    <w:rsid w:val="59BD77C8"/>
    <w:rsid w:val="59E87DF0"/>
    <w:rsid w:val="5B4136EA"/>
    <w:rsid w:val="5B4F5173"/>
    <w:rsid w:val="5C7C23BF"/>
    <w:rsid w:val="5D7455FD"/>
    <w:rsid w:val="5E417F2A"/>
    <w:rsid w:val="633A681D"/>
    <w:rsid w:val="63A243D5"/>
    <w:rsid w:val="65FF54A6"/>
    <w:rsid w:val="67027CE4"/>
    <w:rsid w:val="677012EC"/>
    <w:rsid w:val="68A95260"/>
    <w:rsid w:val="69CD7327"/>
    <w:rsid w:val="69DF67AE"/>
    <w:rsid w:val="6A36659A"/>
    <w:rsid w:val="6D397612"/>
    <w:rsid w:val="6D7606D8"/>
    <w:rsid w:val="6E570C89"/>
    <w:rsid w:val="6E90591D"/>
    <w:rsid w:val="6E945F4C"/>
    <w:rsid w:val="6EB1405E"/>
    <w:rsid w:val="6EFF5252"/>
    <w:rsid w:val="733D5FA3"/>
    <w:rsid w:val="736633EF"/>
    <w:rsid w:val="767E2F22"/>
    <w:rsid w:val="773B25EF"/>
    <w:rsid w:val="77CA6A96"/>
    <w:rsid w:val="7CA16767"/>
    <w:rsid w:val="7D7053B2"/>
    <w:rsid w:val="7DDF3220"/>
    <w:rsid w:val="7F6F4201"/>
    <w:rsid w:val="7F914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qFormat="1" w:unhideWhenUsed="0" w:uiPriority="99" w:semiHidden="0" w:name="toc 2"/>
    <w:lsdException w:qFormat="1" w:unhideWhenUsed="0" w:uiPriority="9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35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99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 w:locked="1"/>
    <w:lsdException w:qFormat="1" w:unhideWhenUsed="0" w:uiPriority="2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99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 w:eastAsia="宋体" w:cs="Times New Roman"/>
      <w:sz w:val="21"/>
      <w:lang w:val="en-GB" w:eastAsia="en-US" w:bidi="ar-SA"/>
    </w:rPr>
  </w:style>
  <w:style w:type="paragraph" w:styleId="2">
    <w:name w:val="heading 1"/>
    <w:basedOn w:val="1"/>
    <w:next w:val="1"/>
    <w:link w:val="25"/>
    <w:qFormat/>
    <w:uiPriority w:val="99"/>
    <w:pPr>
      <w:keepNext/>
      <w:keepLines/>
      <w:numPr>
        <w:ilvl w:val="0"/>
        <w:numId w:val="1"/>
      </w:numPr>
      <w:spacing w:line="360" w:lineRule="auto"/>
      <w:outlineLvl w:val="0"/>
    </w:pPr>
    <w:rPr>
      <w:b/>
      <w:bCs/>
      <w:kern w:val="44"/>
      <w:sz w:val="22"/>
      <w:szCs w:val="44"/>
    </w:rPr>
  </w:style>
  <w:style w:type="paragraph" w:styleId="3">
    <w:name w:val="heading 2"/>
    <w:basedOn w:val="1"/>
    <w:next w:val="1"/>
    <w:link w:val="26"/>
    <w:autoRedefine/>
    <w:qFormat/>
    <w:uiPriority w:val="99"/>
    <w:pPr>
      <w:keepNext/>
      <w:keepLines/>
      <w:spacing w:line="360" w:lineRule="auto"/>
      <w:outlineLvl w:val="1"/>
    </w:pPr>
    <w:rPr>
      <w:bCs/>
      <w:sz w:val="22"/>
      <w:szCs w:val="32"/>
    </w:rPr>
  </w:style>
  <w:style w:type="paragraph" w:styleId="4">
    <w:name w:val="heading 3"/>
    <w:basedOn w:val="1"/>
    <w:next w:val="1"/>
    <w:link w:val="27"/>
    <w:autoRedefine/>
    <w:qFormat/>
    <w:uiPriority w:val="99"/>
    <w:pPr>
      <w:keepNext/>
      <w:spacing w:line="360" w:lineRule="auto"/>
      <w:outlineLvl w:val="2"/>
    </w:pPr>
    <w:rPr>
      <w:sz w:val="22"/>
    </w:rPr>
  </w:style>
  <w:style w:type="paragraph" w:styleId="5">
    <w:name w:val="heading 4"/>
    <w:basedOn w:val="1"/>
    <w:next w:val="1"/>
    <w:link w:val="28"/>
    <w:autoRedefine/>
    <w:qFormat/>
    <w:uiPriority w:val="99"/>
    <w:pPr>
      <w:keepNext/>
      <w:spacing w:before="240" w:after="60"/>
      <w:outlineLvl w:val="3"/>
    </w:pPr>
    <w:rPr>
      <w:b/>
      <w:i/>
    </w:rPr>
  </w:style>
  <w:style w:type="character" w:default="1" w:styleId="21">
    <w:name w:val="Default Paragraph Font"/>
    <w:autoRedefine/>
    <w:semiHidden/>
    <w:unhideWhenUsed/>
    <w:qFormat/>
    <w:uiPriority w:val="1"/>
  </w:style>
  <w:style w:type="table" w:default="1" w:styleId="1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link w:val="29"/>
    <w:autoRedefine/>
    <w:semiHidden/>
    <w:qFormat/>
    <w:uiPriority w:val="99"/>
    <w:rPr>
      <w:sz w:val="24"/>
    </w:rPr>
  </w:style>
  <w:style w:type="paragraph" w:styleId="7">
    <w:name w:val="Body Text 3"/>
    <w:basedOn w:val="1"/>
    <w:link w:val="30"/>
    <w:autoRedefine/>
    <w:qFormat/>
    <w:uiPriority w:val="99"/>
    <w:pPr>
      <w:spacing w:after="120"/>
    </w:pPr>
    <w:rPr>
      <w:sz w:val="16"/>
      <w:szCs w:val="16"/>
    </w:rPr>
  </w:style>
  <w:style w:type="paragraph" w:styleId="8">
    <w:name w:val="Body Text"/>
    <w:basedOn w:val="1"/>
    <w:link w:val="31"/>
    <w:autoRedefine/>
    <w:qFormat/>
    <w:uiPriority w:val="99"/>
    <w:pPr>
      <w:ind w:right="56"/>
    </w:pPr>
    <w:rPr>
      <w:b/>
      <w:sz w:val="22"/>
    </w:rPr>
  </w:style>
  <w:style w:type="paragraph" w:styleId="9">
    <w:name w:val="Body Text Indent"/>
    <w:basedOn w:val="1"/>
    <w:link w:val="32"/>
    <w:autoRedefine/>
    <w:qFormat/>
    <w:uiPriority w:val="99"/>
    <w:pPr>
      <w:spacing w:after="120"/>
      <w:ind w:left="420" w:leftChars="200"/>
    </w:pPr>
  </w:style>
  <w:style w:type="paragraph" w:styleId="10">
    <w:name w:val="toc 3"/>
    <w:basedOn w:val="1"/>
    <w:next w:val="1"/>
    <w:autoRedefine/>
    <w:qFormat/>
    <w:uiPriority w:val="99"/>
    <w:pPr>
      <w:tabs>
        <w:tab w:val="right" w:leader="dot" w:pos="8302"/>
        <w:tab w:val="right" w:leader="dot" w:pos="8835"/>
      </w:tabs>
      <w:spacing w:line="360" w:lineRule="auto"/>
      <w:ind w:left="300" w:leftChars="300"/>
    </w:pPr>
    <w:rPr>
      <w:sz w:val="20"/>
    </w:rPr>
  </w:style>
  <w:style w:type="paragraph" w:styleId="11">
    <w:name w:val="Body Text Indent 2"/>
    <w:basedOn w:val="1"/>
    <w:link w:val="33"/>
    <w:autoRedefine/>
    <w:qFormat/>
    <w:uiPriority w:val="99"/>
    <w:pPr>
      <w:spacing w:after="120" w:line="480" w:lineRule="auto"/>
      <w:ind w:left="420" w:leftChars="200"/>
    </w:pPr>
  </w:style>
  <w:style w:type="paragraph" w:styleId="12">
    <w:name w:val="Balloon Text"/>
    <w:basedOn w:val="1"/>
    <w:link w:val="34"/>
    <w:autoRedefine/>
    <w:semiHidden/>
    <w:qFormat/>
    <w:uiPriority w:val="99"/>
    <w:rPr>
      <w:sz w:val="18"/>
      <w:szCs w:val="18"/>
    </w:rPr>
  </w:style>
  <w:style w:type="paragraph" w:styleId="13">
    <w:name w:val="footer"/>
    <w:basedOn w:val="1"/>
    <w:link w:val="46"/>
    <w:autoRedefine/>
    <w:qFormat/>
    <w:uiPriority w:val="99"/>
    <w:pPr>
      <w:tabs>
        <w:tab w:val="center" w:pos="4320"/>
        <w:tab w:val="right" w:pos="8640"/>
      </w:tabs>
    </w:pPr>
    <w:rPr>
      <w:sz w:val="24"/>
    </w:rPr>
  </w:style>
  <w:style w:type="paragraph" w:styleId="14">
    <w:name w:val="header"/>
    <w:basedOn w:val="1"/>
    <w:link w:val="36"/>
    <w:autoRedefine/>
    <w:qFormat/>
    <w:uiPriority w:val="99"/>
    <w:pPr>
      <w:tabs>
        <w:tab w:val="center" w:pos="4320"/>
        <w:tab w:val="right" w:pos="8640"/>
      </w:tabs>
    </w:pPr>
    <w:rPr>
      <w:sz w:val="24"/>
    </w:rPr>
  </w:style>
  <w:style w:type="paragraph" w:styleId="15">
    <w:name w:val="toc 1"/>
    <w:basedOn w:val="1"/>
    <w:next w:val="1"/>
    <w:autoRedefine/>
    <w:qFormat/>
    <w:uiPriority w:val="99"/>
    <w:pPr>
      <w:widowControl w:val="0"/>
      <w:tabs>
        <w:tab w:val="left" w:pos="840"/>
        <w:tab w:val="right" w:leader="dot" w:pos="10080"/>
      </w:tabs>
      <w:overflowPunct/>
      <w:autoSpaceDE/>
      <w:autoSpaceDN/>
      <w:adjustRightInd/>
      <w:spacing w:line="360" w:lineRule="auto"/>
      <w:ind w:left="210"/>
      <w:textAlignment w:val="auto"/>
    </w:pPr>
    <w:rPr>
      <w:b/>
      <w:bCs/>
      <w:caps/>
      <w:kern w:val="2"/>
      <w:lang w:val="en-US" w:eastAsia="zh-CN"/>
    </w:rPr>
  </w:style>
  <w:style w:type="paragraph" w:styleId="16">
    <w:name w:val="toc 2"/>
    <w:basedOn w:val="1"/>
    <w:next w:val="1"/>
    <w:autoRedefine/>
    <w:qFormat/>
    <w:uiPriority w:val="99"/>
    <w:pPr>
      <w:widowControl w:val="0"/>
      <w:tabs>
        <w:tab w:val="right" w:leader="dot" w:pos="8302"/>
      </w:tabs>
      <w:overflowPunct/>
      <w:autoSpaceDE/>
      <w:autoSpaceDN/>
      <w:adjustRightInd/>
      <w:spacing w:line="360" w:lineRule="auto"/>
      <w:ind w:left="200" w:leftChars="200"/>
      <w:textAlignment w:val="auto"/>
    </w:pPr>
    <w:rPr>
      <w:kern w:val="2"/>
      <w:lang w:val="en-US" w:eastAsia="zh-CN"/>
    </w:rPr>
  </w:style>
  <w:style w:type="paragraph" w:styleId="17">
    <w:name w:val="Title"/>
    <w:basedOn w:val="1"/>
    <w:next w:val="1"/>
    <w:link w:val="37"/>
    <w:autoRedefine/>
    <w:qFormat/>
    <w:uiPriority w:val="99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styleId="18">
    <w:name w:val="annotation subject"/>
    <w:basedOn w:val="6"/>
    <w:next w:val="6"/>
    <w:link w:val="38"/>
    <w:autoRedefine/>
    <w:semiHidden/>
    <w:qFormat/>
    <w:uiPriority w:val="99"/>
    <w:rPr>
      <w:b/>
      <w:bCs/>
    </w:rPr>
  </w:style>
  <w:style w:type="table" w:styleId="20">
    <w:name w:val="Table Grid"/>
    <w:basedOn w:val="19"/>
    <w:autoRedefine/>
    <w:qFormat/>
    <w:uiPriority w:val="99"/>
    <w:pPr>
      <w:overflowPunct w:val="0"/>
      <w:autoSpaceDE w:val="0"/>
      <w:autoSpaceDN w:val="0"/>
      <w:adjustRightInd w:val="0"/>
      <w:textAlignment w:val="baseline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page number"/>
    <w:basedOn w:val="21"/>
    <w:autoRedefine/>
    <w:qFormat/>
    <w:uiPriority w:val="99"/>
    <w:rPr>
      <w:rFonts w:cs="Times New Roman"/>
    </w:rPr>
  </w:style>
  <w:style w:type="character" w:styleId="23">
    <w:name w:val="Hyperlink"/>
    <w:basedOn w:val="21"/>
    <w:autoRedefine/>
    <w:qFormat/>
    <w:uiPriority w:val="99"/>
    <w:rPr>
      <w:rFonts w:cs="Times New Roman"/>
      <w:color w:val="0000FF"/>
      <w:u w:val="single"/>
    </w:rPr>
  </w:style>
  <w:style w:type="character" w:styleId="24">
    <w:name w:val="annotation reference"/>
    <w:basedOn w:val="21"/>
    <w:autoRedefine/>
    <w:semiHidden/>
    <w:qFormat/>
    <w:uiPriority w:val="99"/>
    <w:rPr>
      <w:rFonts w:cs="Times New Roman"/>
      <w:sz w:val="21"/>
    </w:rPr>
  </w:style>
  <w:style w:type="character" w:customStyle="1" w:styleId="25">
    <w:name w:val="标题 1 字符"/>
    <w:basedOn w:val="21"/>
    <w:link w:val="2"/>
    <w:autoRedefine/>
    <w:qFormat/>
    <w:uiPriority w:val="9"/>
    <w:rPr>
      <w:b/>
      <w:bCs/>
      <w:kern w:val="44"/>
      <w:sz w:val="44"/>
      <w:szCs w:val="44"/>
      <w:lang w:val="en-GB" w:eastAsia="en-US"/>
    </w:rPr>
  </w:style>
  <w:style w:type="character" w:customStyle="1" w:styleId="26">
    <w:name w:val="标题 2 字符"/>
    <w:basedOn w:val="21"/>
    <w:link w:val="3"/>
    <w:autoRedefine/>
    <w:semiHidden/>
    <w:qFormat/>
    <w:uiPriority w:val="9"/>
    <w:rPr>
      <w:rFonts w:asciiTheme="majorHAnsi" w:hAnsiTheme="majorHAnsi" w:eastAsiaTheme="majorEastAsia" w:cstheme="majorBidi"/>
      <w:b/>
      <w:bCs/>
      <w:kern w:val="0"/>
      <w:sz w:val="32"/>
      <w:szCs w:val="32"/>
      <w:lang w:val="en-GB" w:eastAsia="en-US"/>
    </w:rPr>
  </w:style>
  <w:style w:type="character" w:customStyle="1" w:styleId="27">
    <w:name w:val="标题 3 字符"/>
    <w:basedOn w:val="21"/>
    <w:link w:val="4"/>
    <w:autoRedefine/>
    <w:semiHidden/>
    <w:qFormat/>
    <w:uiPriority w:val="9"/>
    <w:rPr>
      <w:b/>
      <w:bCs/>
      <w:kern w:val="0"/>
      <w:sz w:val="32"/>
      <w:szCs w:val="32"/>
      <w:lang w:val="en-GB" w:eastAsia="en-US"/>
    </w:rPr>
  </w:style>
  <w:style w:type="character" w:customStyle="1" w:styleId="28">
    <w:name w:val="标题 4 字符"/>
    <w:basedOn w:val="21"/>
    <w:link w:val="5"/>
    <w:autoRedefine/>
    <w:semiHidden/>
    <w:qFormat/>
    <w:uiPriority w:val="9"/>
    <w:rPr>
      <w:rFonts w:asciiTheme="majorHAnsi" w:hAnsiTheme="majorHAnsi" w:eastAsiaTheme="majorEastAsia" w:cstheme="majorBidi"/>
      <w:b/>
      <w:bCs/>
      <w:kern w:val="0"/>
      <w:sz w:val="28"/>
      <w:szCs w:val="28"/>
      <w:lang w:val="en-GB" w:eastAsia="en-US"/>
    </w:rPr>
  </w:style>
  <w:style w:type="character" w:customStyle="1" w:styleId="29">
    <w:name w:val="批注文字 字符"/>
    <w:basedOn w:val="21"/>
    <w:link w:val="6"/>
    <w:autoRedefine/>
    <w:semiHidden/>
    <w:qFormat/>
    <w:locked/>
    <w:uiPriority w:val="99"/>
    <w:rPr>
      <w:sz w:val="24"/>
      <w:lang w:val="en-GB" w:eastAsia="en-US"/>
    </w:rPr>
  </w:style>
  <w:style w:type="character" w:customStyle="1" w:styleId="30">
    <w:name w:val="正文文本 3 字符"/>
    <w:basedOn w:val="21"/>
    <w:link w:val="7"/>
    <w:autoRedefine/>
    <w:semiHidden/>
    <w:qFormat/>
    <w:uiPriority w:val="99"/>
    <w:rPr>
      <w:kern w:val="0"/>
      <w:sz w:val="16"/>
      <w:szCs w:val="16"/>
      <w:lang w:val="en-GB" w:eastAsia="en-US"/>
    </w:rPr>
  </w:style>
  <w:style w:type="character" w:customStyle="1" w:styleId="31">
    <w:name w:val="正文文本 字符"/>
    <w:basedOn w:val="21"/>
    <w:link w:val="8"/>
    <w:autoRedefine/>
    <w:semiHidden/>
    <w:qFormat/>
    <w:uiPriority w:val="99"/>
    <w:rPr>
      <w:kern w:val="0"/>
      <w:szCs w:val="20"/>
      <w:lang w:val="en-GB" w:eastAsia="en-US"/>
    </w:rPr>
  </w:style>
  <w:style w:type="character" w:customStyle="1" w:styleId="32">
    <w:name w:val="正文文本缩进 字符"/>
    <w:basedOn w:val="21"/>
    <w:link w:val="9"/>
    <w:autoRedefine/>
    <w:semiHidden/>
    <w:qFormat/>
    <w:uiPriority w:val="99"/>
    <w:rPr>
      <w:kern w:val="0"/>
      <w:szCs w:val="20"/>
      <w:lang w:val="en-GB" w:eastAsia="en-US"/>
    </w:rPr>
  </w:style>
  <w:style w:type="character" w:customStyle="1" w:styleId="33">
    <w:name w:val="正文文本缩进 2 字符"/>
    <w:basedOn w:val="21"/>
    <w:link w:val="11"/>
    <w:autoRedefine/>
    <w:semiHidden/>
    <w:qFormat/>
    <w:uiPriority w:val="99"/>
    <w:rPr>
      <w:kern w:val="0"/>
      <w:szCs w:val="20"/>
      <w:lang w:val="en-GB" w:eastAsia="en-US"/>
    </w:rPr>
  </w:style>
  <w:style w:type="character" w:customStyle="1" w:styleId="34">
    <w:name w:val="批注框文本 字符"/>
    <w:basedOn w:val="21"/>
    <w:link w:val="12"/>
    <w:autoRedefine/>
    <w:semiHidden/>
    <w:qFormat/>
    <w:uiPriority w:val="99"/>
    <w:rPr>
      <w:kern w:val="0"/>
      <w:sz w:val="0"/>
      <w:szCs w:val="0"/>
      <w:lang w:val="en-GB" w:eastAsia="en-US"/>
    </w:rPr>
  </w:style>
  <w:style w:type="character" w:customStyle="1" w:styleId="35">
    <w:name w:val="Footer Char"/>
    <w:basedOn w:val="21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36">
    <w:name w:val="页眉 字符"/>
    <w:basedOn w:val="21"/>
    <w:link w:val="14"/>
    <w:autoRedefine/>
    <w:qFormat/>
    <w:locked/>
    <w:uiPriority w:val="99"/>
    <w:rPr>
      <w:rFonts w:eastAsia="宋体"/>
      <w:sz w:val="24"/>
      <w:lang w:val="en-GB" w:eastAsia="en-US"/>
    </w:rPr>
  </w:style>
  <w:style w:type="character" w:customStyle="1" w:styleId="37">
    <w:name w:val="标题 字符"/>
    <w:basedOn w:val="21"/>
    <w:link w:val="17"/>
    <w:autoRedefine/>
    <w:qFormat/>
    <w:locked/>
    <w:uiPriority w:val="99"/>
    <w:rPr>
      <w:rFonts w:ascii="Calibri Light" w:hAnsi="Calibri Light"/>
      <w:b/>
      <w:sz w:val="32"/>
      <w:lang w:val="en-GB" w:eastAsia="en-US"/>
    </w:rPr>
  </w:style>
  <w:style w:type="character" w:customStyle="1" w:styleId="38">
    <w:name w:val="批注主题 字符"/>
    <w:basedOn w:val="29"/>
    <w:link w:val="18"/>
    <w:autoRedefine/>
    <w:semiHidden/>
    <w:qFormat/>
    <w:uiPriority w:val="99"/>
    <w:rPr>
      <w:b/>
      <w:bCs/>
      <w:kern w:val="0"/>
      <w:sz w:val="24"/>
      <w:szCs w:val="20"/>
      <w:lang w:val="en-GB" w:eastAsia="en-US"/>
    </w:rPr>
  </w:style>
  <w:style w:type="paragraph" w:customStyle="1" w:styleId="39">
    <w:name w:val="Table"/>
    <w:basedOn w:val="1"/>
    <w:autoRedefine/>
    <w:qFormat/>
    <w:uiPriority w:val="99"/>
    <w:pPr>
      <w:keepLines/>
      <w:tabs>
        <w:tab w:val="left" w:pos="284"/>
      </w:tabs>
      <w:overflowPunct/>
      <w:autoSpaceDE/>
      <w:autoSpaceDN/>
      <w:adjustRightInd/>
      <w:spacing w:before="40" w:after="20"/>
      <w:textAlignment w:val="auto"/>
    </w:pPr>
    <w:rPr>
      <w:rFonts w:ascii="Arial" w:hAnsi="Arial"/>
      <w:sz w:val="20"/>
      <w:lang w:val="en-US"/>
    </w:rPr>
  </w:style>
  <w:style w:type="paragraph" w:customStyle="1" w:styleId="40">
    <w:name w:val="Default Text"/>
    <w:basedOn w:val="1"/>
    <w:autoRedefine/>
    <w:qFormat/>
    <w:uiPriority w:val="99"/>
    <w:pPr>
      <w:overflowPunct/>
      <w:textAlignment w:val="auto"/>
    </w:pPr>
    <w:rPr>
      <w:rFonts w:ascii="Arial" w:hAnsi="Arial"/>
      <w:szCs w:val="24"/>
      <w:lang w:val="en-US"/>
    </w:rPr>
  </w:style>
  <w:style w:type="paragraph" w:customStyle="1" w:styleId="41">
    <w:name w:val="Style"/>
    <w:basedOn w:val="1"/>
    <w:autoRedefine/>
    <w:qFormat/>
    <w:uiPriority w:val="99"/>
    <w:pPr>
      <w:overflowPunct/>
      <w:textAlignment w:val="auto"/>
    </w:pPr>
    <w:rPr>
      <w:rFonts w:ascii="Arial" w:hAnsi="Arial"/>
      <w:szCs w:val="24"/>
      <w:lang w:val="en-US"/>
    </w:rPr>
  </w:style>
  <w:style w:type="paragraph" w:customStyle="1" w:styleId="42">
    <w:name w:val="正文1"/>
    <w:basedOn w:val="1"/>
    <w:autoRedefine/>
    <w:qFormat/>
    <w:uiPriority w:val="99"/>
    <w:pPr>
      <w:overflowPunct/>
      <w:textAlignment w:val="auto"/>
    </w:pPr>
    <w:rPr>
      <w:rFonts w:ascii="Arial" w:hAnsi="Arial"/>
      <w:sz w:val="20"/>
      <w:lang w:val="en-US"/>
    </w:rPr>
  </w:style>
  <w:style w:type="paragraph" w:customStyle="1" w:styleId="43">
    <w:name w:val="Revision1"/>
    <w:autoRedefine/>
    <w:hidden/>
    <w:semiHidden/>
    <w:qFormat/>
    <w:uiPriority w:val="99"/>
    <w:rPr>
      <w:rFonts w:ascii="Times New Roman" w:hAnsi="Times New Roman" w:eastAsia="宋体" w:cs="Times New Roman"/>
      <w:sz w:val="24"/>
      <w:lang w:val="en-GB" w:eastAsia="en-US" w:bidi="ar-SA"/>
    </w:rPr>
  </w:style>
  <w:style w:type="paragraph" w:styleId="44">
    <w:name w:val="List Paragraph"/>
    <w:basedOn w:val="1"/>
    <w:autoRedefine/>
    <w:qFormat/>
    <w:uiPriority w:val="99"/>
    <w:pPr>
      <w:widowControl w:val="0"/>
      <w:overflowPunct/>
      <w:autoSpaceDE/>
      <w:autoSpaceDN/>
      <w:adjustRightInd/>
      <w:ind w:firstLine="420" w:firstLineChars="200"/>
      <w:jc w:val="both"/>
      <w:textAlignment w:val="auto"/>
    </w:pPr>
    <w:rPr>
      <w:rFonts w:ascii="Calibri" w:hAnsi="Calibri"/>
      <w:kern w:val="2"/>
      <w:szCs w:val="22"/>
      <w:lang w:val="en-US" w:eastAsia="zh-CN"/>
    </w:rPr>
  </w:style>
  <w:style w:type="paragraph" w:customStyle="1" w:styleId="45">
    <w:name w:val="TOC Heading1"/>
    <w:basedOn w:val="2"/>
    <w:next w:val="1"/>
    <w:autoRedefine/>
    <w:qFormat/>
    <w:uiPriority w:val="99"/>
    <w:pPr>
      <w:numPr>
        <w:numId w:val="0"/>
      </w:numPr>
      <w:outlineLvl w:val="9"/>
    </w:pPr>
  </w:style>
  <w:style w:type="character" w:customStyle="1" w:styleId="46">
    <w:name w:val="页脚 字符"/>
    <w:link w:val="13"/>
    <w:autoRedefine/>
    <w:qFormat/>
    <w:locked/>
    <w:uiPriority w:val="99"/>
    <w:rPr>
      <w:sz w:val="24"/>
      <w:lang w:val="en-GB" w:eastAsia="en-US"/>
    </w:rPr>
  </w:style>
  <w:style w:type="character" w:customStyle="1" w:styleId="47">
    <w:name w:val="instruction standard blue"/>
    <w:qFormat/>
    <w:uiPriority w:val="99"/>
    <w:rPr>
      <w:i/>
      <w:color w:val="0070C0"/>
    </w:rPr>
  </w:style>
  <w:style w:type="character" w:customStyle="1" w:styleId="48">
    <w:name w:val="keyword"/>
    <w:basedOn w:val="21"/>
    <w:qFormat/>
    <w:uiPriority w:val="99"/>
    <w:rPr>
      <w:rFonts w:cs="Times New Roman"/>
    </w:rPr>
  </w:style>
  <w:style w:type="paragraph" w:customStyle="1" w:styleId="49">
    <w:name w:val="numbering blue"/>
    <w:basedOn w:val="1"/>
    <w:link w:val="50"/>
    <w:qFormat/>
    <w:uiPriority w:val="99"/>
    <w:pPr>
      <w:numPr>
        <w:ilvl w:val="0"/>
        <w:numId w:val="2"/>
      </w:numPr>
      <w:overflowPunct/>
      <w:autoSpaceDE/>
      <w:autoSpaceDN/>
      <w:adjustRightInd/>
      <w:spacing w:after="120"/>
      <w:ind w:left="357" w:hanging="357"/>
      <w:contextualSpacing/>
      <w:textAlignment w:val="auto"/>
    </w:pPr>
    <w:rPr>
      <w:rFonts w:ascii="Arial" w:hAnsi="Arial" w:eastAsia="PMingLiUfalt"/>
      <w:color w:val="0070C0"/>
      <w:sz w:val="20"/>
      <w:lang w:val="en-US" w:eastAsia="zh-TW"/>
    </w:rPr>
  </w:style>
  <w:style w:type="character" w:customStyle="1" w:styleId="50">
    <w:name w:val="numbering blue Zchn"/>
    <w:link w:val="49"/>
    <w:qFormat/>
    <w:locked/>
    <w:uiPriority w:val="99"/>
    <w:rPr>
      <w:rFonts w:ascii="Arial" w:hAnsi="Arial" w:eastAsia="PMingLiUfalt"/>
      <w:color w:val="0070C0"/>
      <w:lang w:eastAsia="zh-TW"/>
    </w:rPr>
  </w:style>
  <w:style w:type="paragraph" w:customStyle="1" w:styleId="51">
    <w:name w:val="Default"/>
    <w:qFormat/>
    <w:uiPriority w:val="99"/>
    <w:pPr>
      <w:widowControl w:val="0"/>
      <w:autoSpaceDE w:val="0"/>
      <w:autoSpaceDN w:val="0"/>
    </w:pPr>
    <w:rPr>
      <w:rFonts w:ascii="Arial" w:hAnsi="Arial" w:eastAsia="宋体" w:cs="Times New Roman"/>
      <w:color w:val="000000"/>
      <w:sz w:val="24"/>
      <w:lang w:val="en-US" w:eastAsia="zh-CN" w:bidi="ar-SA"/>
    </w:rPr>
  </w:style>
  <w:style w:type="character" w:customStyle="1" w:styleId="52">
    <w:name w:val="Text Char"/>
    <w:link w:val="53"/>
    <w:qFormat/>
    <w:locked/>
    <w:uiPriority w:val="99"/>
    <w:rPr>
      <w:sz w:val="24"/>
      <w:lang w:eastAsia="en-US"/>
    </w:rPr>
  </w:style>
  <w:style w:type="paragraph" w:customStyle="1" w:styleId="53">
    <w:name w:val="Text"/>
    <w:basedOn w:val="1"/>
    <w:link w:val="52"/>
    <w:qFormat/>
    <w:uiPriority w:val="99"/>
    <w:pPr>
      <w:overflowPunct/>
      <w:autoSpaceDE/>
      <w:autoSpaceDN/>
      <w:adjustRightInd/>
      <w:spacing w:before="120"/>
      <w:jc w:val="both"/>
      <w:textAlignment w:val="auto"/>
    </w:pPr>
    <w:rPr>
      <w:sz w:val="24"/>
      <w:lang w:val="en-US"/>
    </w:rPr>
  </w:style>
  <w:style w:type="character" w:customStyle="1" w:styleId="54">
    <w:name w:val="ordinary-span-edit2"/>
    <w:qFormat/>
    <w:uiPriority w:val="99"/>
  </w:style>
  <w:style w:type="character" w:customStyle="1" w:styleId="55">
    <w:name w:val="apple-converted-space"/>
    <w:basedOn w:val="21"/>
    <w:qFormat/>
    <w:uiPriority w:val="99"/>
    <w:rPr>
      <w:rFonts w:cs="Times New Roman"/>
    </w:rPr>
  </w:style>
  <w:style w:type="paragraph" w:customStyle="1" w:styleId="56">
    <w:name w:val="Table text"/>
    <w:basedOn w:val="1"/>
    <w:qFormat/>
    <w:uiPriority w:val="99"/>
    <w:pPr>
      <w:overflowPunct/>
      <w:autoSpaceDE/>
      <w:autoSpaceDN/>
      <w:adjustRightInd/>
      <w:spacing w:before="120" w:after="120"/>
      <w:jc w:val="both"/>
      <w:textAlignment w:val="auto"/>
    </w:pPr>
    <w:rPr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Win10NeT.COM</Company>
  <Pages>7</Pages>
  <Words>607</Words>
  <Characters>3462</Characters>
  <Lines>28</Lines>
  <Paragraphs>8</Paragraphs>
  <TotalTime>6</TotalTime>
  <ScaleCrop>false</ScaleCrop>
  <LinksUpToDate>false</LinksUpToDate>
  <CharactersWithSpaces>4061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2020-12-03T05:47:00Z</dcterms:created>
  <dc:creator>Lilly</dc:creator>
  <cp:lastModifiedBy>WPS_1627192026</cp:lastModifiedBy>
  <cp:lastPrinted>2019-04-10T00:58:00Z</cp:lastPrinted>
  <dcterms:modified xsi:type="dcterms:W3CDTF">2023-12-14T07:50:40Z</dcterms:modified>
  <dc:title>生效期：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8C4BD49DB7FB40DA9F70DEA8FF11EE89_13</vt:lpwstr>
  </property>
</Properties>
</file>