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2CDB4" w14:textId="77777777" w:rsidR="00A07B4A" w:rsidRDefault="00EC3C92">
      <w:pPr>
        <w:pStyle w:val="1"/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用户需求（</w:t>
      </w:r>
      <w:r>
        <w:rPr>
          <w:rFonts w:ascii="仿宋" w:eastAsia="仿宋" w:hAnsi="仿宋" w:cs="仿宋" w:hint="eastAsia"/>
          <w:sz w:val="44"/>
          <w:szCs w:val="44"/>
        </w:rPr>
        <w:t>URS</w:t>
      </w:r>
      <w:r>
        <w:rPr>
          <w:rFonts w:ascii="仿宋" w:eastAsia="仿宋" w:hAnsi="仿宋" w:cs="仿宋" w:hint="eastAsia"/>
          <w:sz w:val="44"/>
          <w:szCs w:val="44"/>
        </w:rPr>
        <w:t>）</w:t>
      </w:r>
    </w:p>
    <w:p w14:paraId="3CD53105" w14:textId="77777777" w:rsidR="00A07B4A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一、总则</w:t>
      </w:r>
    </w:p>
    <w:p w14:paraId="560D3B73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（一）需求目的</w:t>
      </w:r>
    </w:p>
    <w:p w14:paraId="2E6CEA58" w14:textId="77777777" w:rsidR="00A07B4A" w:rsidRDefault="00EC3C92">
      <w:pPr>
        <w:pStyle w:val="Style1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为保障</w:t>
      </w:r>
      <w:r>
        <w:rPr>
          <w:rFonts w:ascii="仿宋" w:eastAsia="仿宋" w:hAnsi="仿宋" w:cs="仿宋" w:hint="eastAsia"/>
          <w:sz w:val="32"/>
          <w:szCs w:val="32"/>
        </w:rPr>
        <w:t>非洲猪瘟疫苗生产车间配套检验用动物实验室</w:t>
      </w:r>
      <w:r>
        <w:rPr>
          <w:rFonts w:ascii="仿宋" w:eastAsia="仿宋" w:hAnsi="仿宋" w:cs="仿宋" w:hint="eastAsia"/>
          <w:sz w:val="32"/>
          <w:szCs w:val="32"/>
        </w:rPr>
        <w:t>建筑在地震作用下的结构安全、实验设施稳定及生物安全屏障完整性，依据国家及地方相关标准规范，明确场地地震安全性评价的技术要求与成果标准，为实验室抗震设计及安全管理提供科学依据。</w:t>
      </w:r>
    </w:p>
    <w:p w14:paraId="53A71401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（二）适用范围</w:t>
      </w:r>
    </w:p>
    <w:p w14:paraId="75A61415" w14:textId="77777777" w:rsidR="00A07B4A" w:rsidRDefault="00EC3C92">
      <w:pPr>
        <w:pStyle w:val="Style1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本需求适用于</w:t>
      </w:r>
      <w:r>
        <w:rPr>
          <w:rFonts w:ascii="仿宋" w:eastAsia="仿宋" w:hAnsi="仿宋" w:cs="仿宋" w:hint="eastAsia"/>
          <w:sz w:val="32"/>
          <w:szCs w:val="32"/>
        </w:rPr>
        <w:t>非洲猪瘟疫苗生产车间配套检验用动物实验室</w:t>
      </w:r>
      <w:r>
        <w:rPr>
          <w:rFonts w:ascii="仿宋" w:eastAsia="仿宋" w:hAnsi="仿宋" w:cs="仿宋" w:hint="eastAsia"/>
          <w:sz w:val="32"/>
          <w:szCs w:val="32"/>
        </w:rPr>
        <w:t>建筑场地（以下简称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“场地”）的地震安全性评价工作，涵盖区域地震构造分析、场地地震工程地质勘察、地震危险性评估、地震地质灾害评价及设计地震动参数确定等全流程内容。</w:t>
      </w:r>
    </w:p>
    <w:p w14:paraId="7DBE023A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（三）核心依据</w:t>
      </w:r>
    </w:p>
    <w:p w14:paraId="7597C173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国家标准：《建筑抗震设计规范》（</w:t>
      </w:r>
      <w:r>
        <w:rPr>
          <w:rFonts w:ascii="仿宋" w:eastAsia="仿宋" w:hAnsi="仿宋" w:cs="仿宋" w:hint="eastAsia"/>
          <w:sz w:val="32"/>
          <w:szCs w:val="32"/>
        </w:rPr>
        <w:t>GB50011-2010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 xml:space="preserve">2016 </w:t>
      </w:r>
      <w:r>
        <w:rPr>
          <w:rFonts w:ascii="仿宋" w:eastAsia="仿宋" w:hAnsi="仿宋" w:cs="仿宋" w:hint="eastAsia"/>
          <w:sz w:val="32"/>
          <w:szCs w:val="32"/>
        </w:rPr>
        <w:t>年版）及其强制性条文；</w:t>
      </w:r>
    </w:p>
    <w:p w14:paraId="575E60BE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国家标准：《工程场地地震安全性评价》（</w:t>
      </w:r>
      <w:r>
        <w:rPr>
          <w:rFonts w:ascii="仿宋" w:eastAsia="仿宋" w:hAnsi="仿宋" w:cs="仿宋" w:hint="eastAsia"/>
          <w:sz w:val="32"/>
          <w:szCs w:val="32"/>
        </w:rPr>
        <w:t>GB17741-2025</w:t>
      </w:r>
      <w:r>
        <w:rPr>
          <w:rFonts w:ascii="仿宋" w:eastAsia="仿宋" w:hAnsi="仿宋" w:cs="仿宋" w:hint="eastAsia"/>
          <w:sz w:val="32"/>
          <w:szCs w:val="32"/>
        </w:rPr>
        <w:t>/2020</w:t>
      </w:r>
      <w:r>
        <w:rPr>
          <w:rFonts w:ascii="仿宋" w:eastAsia="仿宋" w:hAnsi="仿宋" w:cs="仿宋" w:hint="eastAsia"/>
          <w:sz w:val="32"/>
          <w:szCs w:val="32"/>
        </w:rPr>
        <w:t>）；</w:t>
      </w:r>
    </w:p>
    <w:p w14:paraId="6EDB6FCB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地方规章：《武汉市建设工程抗震设防要求管理办法》（武汉市人民政府令第</w:t>
      </w:r>
      <w:r>
        <w:rPr>
          <w:rFonts w:ascii="仿宋" w:eastAsia="仿宋" w:hAnsi="仿宋" w:cs="仿宋" w:hint="eastAsia"/>
          <w:sz w:val="32"/>
          <w:szCs w:val="32"/>
        </w:rPr>
        <w:t xml:space="preserve"> 269 </w:t>
      </w:r>
      <w:r>
        <w:rPr>
          <w:rFonts w:ascii="仿宋" w:eastAsia="仿宋" w:hAnsi="仿宋" w:cs="仿宋" w:hint="eastAsia"/>
          <w:sz w:val="32"/>
          <w:szCs w:val="32"/>
        </w:rPr>
        <w:t>号）；</w:t>
      </w:r>
    </w:p>
    <w:p w14:paraId="6A88413B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地方规定：《湖北省地震安全性评价管理办法》及湖北省、武汉市关于</w:t>
      </w:r>
      <w:r>
        <w:rPr>
          <w:rFonts w:ascii="仿宋" w:eastAsia="仿宋" w:hAnsi="仿宋" w:cs="仿宋" w:hint="eastAsia"/>
          <w:sz w:val="32"/>
          <w:szCs w:val="32"/>
        </w:rPr>
        <w:t xml:space="preserve"> P3 </w:t>
      </w:r>
      <w:r>
        <w:rPr>
          <w:rFonts w:ascii="仿宋" w:eastAsia="仿宋" w:hAnsi="仿宋" w:cs="仿宋" w:hint="eastAsia"/>
          <w:sz w:val="32"/>
          <w:szCs w:val="32"/>
        </w:rPr>
        <w:t>实验室建设的专项抗震管理要求；</w:t>
      </w:r>
    </w:p>
    <w:p w14:paraId="07C45D0D" w14:textId="77777777" w:rsidR="00A07B4A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二、评价工作基本要求</w:t>
      </w:r>
    </w:p>
    <w:p w14:paraId="2213B1DD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（一）工作分级</w:t>
      </w:r>
    </w:p>
    <w:p w14:paraId="697446B5" w14:textId="77777777" w:rsidR="00A07B4A" w:rsidRDefault="00EC3C92">
      <w:pPr>
        <w:pStyle w:val="Style1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依据</w:t>
      </w:r>
      <w:r>
        <w:rPr>
          <w:rFonts w:ascii="仿宋" w:eastAsia="仿宋" w:hAnsi="仿宋" w:cs="仿宋" w:hint="eastAsia"/>
          <w:sz w:val="32"/>
          <w:szCs w:val="32"/>
        </w:rPr>
        <w:t xml:space="preserve"> GB17741-2025 </w:t>
      </w:r>
      <w:r>
        <w:rPr>
          <w:rFonts w:ascii="仿宋" w:eastAsia="仿宋" w:hAnsi="仿宋" w:cs="仿宋" w:hint="eastAsia"/>
          <w:sz w:val="32"/>
          <w:szCs w:val="32"/>
        </w:rPr>
        <w:t>分级管理体系，结合</w:t>
      </w:r>
      <w:r>
        <w:rPr>
          <w:rFonts w:ascii="仿宋" w:eastAsia="仿宋" w:hAnsi="仿宋" w:cs="仿宋" w:hint="eastAsia"/>
          <w:sz w:val="32"/>
          <w:szCs w:val="32"/>
        </w:rPr>
        <w:t xml:space="preserve"> P3 </w:t>
      </w:r>
      <w:r>
        <w:rPr>
          <w:rFonts w:ascii="仿宋" w:eastAsia="仿宋" w:hAnsi="仿宋" w:cs="仿宋" w:hint="eastAsia"/>
          <w:sz w:val="32"/>
          <w:szCs w:val="32"/>
        </w:rPr>
        <w:t>实验室作为重大科技基础设施</w:t>
      </w:r>
      <w:r>
        <w:rPr>
          <w:rFonts w:ascii="仿宋" w:eastAsia="仿宋" w:hAnsi="仿宋" w:cs="仿宋" w:hint="eastAsia"/>
          <w:sz w:val="32"/>
          <w:szCs w:val="32"/>
        </w:rPr>
        <w:t>的属性，评价工作等级不低于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Ⅱ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级，需涵盖</w:t>
      </w:r>
      <w:r>
        <w:rPr>
          <w:rFonts w:ascii="仿宋" w:eastAsia="仿宋" w:hAnsi="仿宋" w:cs="仿宋" w:hint="eastAsia"/>
          <w:sz w:val="32"/>
          <w:szCs w:val="32"/>
        </w:rPr>
        <w:t xml:space="preserve"> 14 </w:t>
      </w:r>
      <w:r>
        <w:rPr>
          <w:rFonts w:ascii="仿宋" w:eastAsia="仿宋" w:hAnsi="仿宋" w:cs="仿宋" w:hint="eastAsia"/>
          <w:sz w:val="32"/>
          <w:szCs w:val="32"/>
        </w:rPr>
        <w:t>项核心评价内容。</w:t>
      </w:r>
    </w:p>
    <w:p w14:paraId="2B9B8052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（二）勘测精度</w:t>
      </w:r>
    </w:p>
    <w:p w14:paraId="4B430384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区域地震构造调查范围半径不小于</w:t>
      </w:r>
      <w:r>
        <w:rPr>
          <w:rFonts w:ascii="仿宋" w:eastAsia="仿宋" w:hAnsi="仿宋" w:cs="仿宋" w:hint="eastAsia"/>
          <w:sz w:val="32"/>
          <w:szCs w:val="32"/>
        </w:rPr>
        <w:t xml:space="preserve"> 150km</w:t>
      </w:r>
      <w:r>
        <w:rPr>
          <w:rFonts w:ascii="仿宋" w:eastAsia="仿宋" w:hAnsi="仿宋" w:cs="仿宋" w:hint="eastAsia"/>
          <w:sz w:val="32"/>
          <w:szCs w:val="32"/>
        </w:rPr>
        <w:t>，近场区构造调查深度不小于</w:t>
      </w:r>
      <w:r>
        <w:rPr>
          <w:rFonts w:ascii="仿宋" w:eastAsia="仿宋" w:hAnsi="仿宋" w:cs="仿宋" w:hint="eastAsia"/>
          <w:sz w:val="32"/>
          <w:szCs w:val="32"/>
        </w:rPr>
        <w:t xml:space="preserve"> 30m</w:t>
      </w:r>
      <w:r>
        <w:rPr>
          <w:rFonts w:ascii="仿宋" w:eastAsia="仿宋" w:hAnsi="仿宋" w:cs="仿宋" w:hint="eastAsia"/>
          <w:sz w:val="32"/>
          <w:szCs w:val="32"/>
        </w:rPr>
        <w:t>，满足活动断层定位精度要求；</w:t>
      </w:r>
    </w:p>
    <w:p w14:paraId="5DC943D8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场地岩土工程勘察应划分抗震有利、一般、不利和危险地段，采用钻孔、原位测试等方法获取土层参数，钻孔间距不大于</w:t>
      </w:r>
      <w:r>
        <w:rPr>
          <w:rFonts w:ascii="仿宋" w:eastAsia="仿宋" w:hAnsi="仿宋" w:cs="仿宋" w:hint="eastAsia"/>
          <w:sz w:val="32"/>
          <w:szCs w:val="32"/>
        </w:rPr>
        <w:t xml:space="preserve"> 30m</w:t>
      </w:r>
      <w:r>
        <w:rPr>
          <w:rFonts w:ascii="仿宋" w:eastAsia="仿宋" w:hAnsi="仿宋" w:cs="仿宋" w:hint="eastAsia"/>
          <w:sz w:val="32"/>
          <w:szCs w:val="32"/>
        </w:rPr>
        <w:t>，控制性钻孔深度应穿透场地覆盖层；</w:t>
      </w:r>
    </w:p>
    <w:p w14:paraId="13347662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剪切波速测试点数量应符合</w:t>
      </w:r>
      <w:r>
        <w:rPr>
          <w:rFonts w:ascii="仿宋" w:eastAsia="仿宋" w:hAnsi="仿宋" w:cs="仿宋" w:hint="eastAsia"/>
          <w:sz w:val="32"/>
          <w:szCs w:val="32"/>
        </w:rPr>
        <w:t xml:space="preserve"> GB17741-2025 </w:t>
      </w:r>
      <w:r>
        <w:rPr>
          <w:rFonts w:ascii="仿宋" w:eastAsia="仿宋" w:hAnsi="仿宋" w:cs="仿宋" w:hint="eastAsia"/>
          <w:sz w:val="32"/>
          <w:szCs w:val="32"/>
        </w:rPr>
        <w:t>规定，每个场地单元测试点不少于</w:t>
      </w:r>
      <w:r>
        <w:rPr>
          <w:rFonts w:ascii="仿宋" w:eastAsia="仿宋" w:hAnsi="仿宋" w:cs="仿宋" w:hint="eastAsia"/>
          <w:sz w:val="32"/>
          <w:szCs w:val="32"/>
        </w:rPr>
        <w:t xml:space="preserve"> 3 </w:t>
      </w:r>
      <w:r>
        <w:rPr>
          <w:rFonts w:ascii="仿宋" w:eastAsia="仿宋" w:hAnsi="仿宋" w:cs="仿宋" w:hint="eastAsia"/>
          <w:sz w:val="32"/>
          <w:szCs w:val="32"/>
        </w:rPr>
        <w:t>个，确保场地类别划分准确。</w:t>
      </w:r>
    </w:p>
    <w:p w14:paraId="1DF6EA8A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（三）数据要求</w:t>
      </w:r>
    </w:p>
    <w:p w14:paraId="294171E2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采用武汉市最新地震动参数</w:t>
      </w:r>
      <w:r>
        <w:rPr>
          <w:rFonts w:ascii="仿宋" w:eastAsia="仿宋" w:hAnsi="仿宋" w:cs="仿宋" w:hint="eastAsia"/>
          <w:sz w:val="32"/>
          <w:szCs w:val="32"/>
        </w:rPr>
        <w:t>小区划成果（若</w:t>
      </w:r>
      <w:r>
        <w:rPr>
          <w:rFonts w:ascii="仿宋" w:eastAsia="仿宋" w:hAnsi="仿宋" w:cs="仿宋" w:hint="eastAsia"/>
          <w:sz w:val="32"/>
          <w:szCs w:val="32"/>
        </w:rPr>
        <w:t>有</w:t>
      </w:r>
      <w:r>
        <w:rPr>
          <w:rFonts w:ascii="仿宋" w:eastAsia="仿宋" w:hAnsi="仿宋" w:cs="仿宋" w:hint="eastAsia"/>
          <w:sz w:val="32"/>
          <w:szCs w:val="32"/>
        </w:rPr>
        <w:t>），无小区划数据时应结合《中国地震动参数区划图》开展分析；</w:t>
      </w:r>
    </w:p>
    <w:p w14:paraId="5B64628E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区域历史地震数据应覆盖近</w:t>
      </w:r>
      <w:r>
        <w:rPr>
          <w:rFonts w:ascii="仿宋" w:eastAsia="仿宋" w:hAnsi="仿宋" w:cs="仿宋" w:hint="eastAsia"/>
          <w:sz w:val="32"/>
          <w:szCs w:val="32"/>
        </w:rPr>
        <w:t xml:space="preserve"> 500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M</w:t>
      </w:r>
      <w:r>
        <w:rPr>
          <w:rFonts w:ascii="仿宋" w:eastAsia="仿宋" w:hAnsi="仿宋" w:cs="仿宋" w:hint="eastAsia"/>
          <w:sz w:val="32"/>
          <w:szCs w:val="32"/>
        </w:rPr>
        <w:t>≥</w:t>
      </w:r>
      <w:r>
        <w:rPr>
          <w:rFonts w:ascii="仿宋" w:eastAsia="仿宋" w:hAnsi="仿宋" w:cs="仿宋" w:hint="eastAsia"/>
          <w:sz w:val="32"/>
          <w:szCs w:val="32"/>
        </w:rPr>
        <w:t xml:space="preserve">4.0 </w:t>
      </w:r>
      <w:r>
        <w:rPr>
          <w:rFonts w:ascii="仿宋" w:eastAsia="仿宋" w:hAnsi="仿宋" w:cs="仿宋" w:hint="eastAsia"/>
          <w:sz w:val="32"/>
          <w:szCs w:val="32"/>
        </w:rPr>
        <w:t>地震事件，近场区地震活动性数据需经省级地震部门验证；</w:t>
      </w:r>
    </w:p>
    <w:p w14:paraId="5CA8119C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实验室特殊功能区（如生物安全柜基础、高压灭菌室等）对应的场地土层数据需单独采集，精度满足设备安装抗震要求。</w:t>
      </w:r>
    </w:p>
    <w:p w14:paraId="2F6815F2" w14:textId="77777777" w:rsidR="00A07B4A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三、核心评价内容与技术标准</w:t>
      </w:r>
    </w:p>
    <w:p w14:paraId="4F72C4B3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（一）地震危险性评估</w:t>
      </w:r>
    </w:p>
    <w:p w14:paraId="54A75C56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采用确定性与概率性分析相结合的方法，计算多遇地震、设防地震、罕遇地震三级水准地震动参数；</w:t>
      </w:r>
    </w:p>
    <w:p w14:paraId="5C9D971C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</w:t>
      </w:r>
      <w:r>
        <w:rPr>
          <w:rFonts w:ascii="仿宋" w:eastAsia="仿宋" w:hAnsi="仿宋" w:cs="仿宋" w:hint="eastAsia"/>
          <w:sz w:val="32"/>
          <w:szCs w:val="32"/>
        </w:rPr>
        <w:t>若场地位于发震断裂两侧</w:t>
      </w:r>
      <w:r>
        <w:rPr>
          <w:rFonts w:ascii="仿宋" w:eastAsia="仿宋" w:hAnsi="仿宋" w:cs="仿宋" w:hint="eastAsia"/>
          <w:sz w:val="32"/>
          <w:szCs w:val="32"/>
        </w:rPr>
        <w:t xml:space="preserve"> 10km </w:t>
      </w:r>
      <w:r>
        <w:rPr>
          <w:rFonts w:ascii="仿宋" w:eastAsia="仿宋" w:hAnsi="仿宋" w:cs="仿宋" w:hint="eastAsia"/>
          <w:sz w:val="32"/>
          <w:szCs w:val="32"/>
        </w:rPr>
        <w:t>以内，需计入近场影响：</w:t>
      </w:r>
      <w:r>
        <w:rPr>
          <w:rFonts w:ascii="仿宋" w:eastAsia="仿宋" w:hAnsi="仿宋" w:cs="仿宋" w:hint="eastAsia"/>
          <w:sz w:val="32"/>
          <w:szCs w:val="32"/>
        </w:rPr>
        <w:t xml:space="preserve">5km </w:t>
      </w:r>
      <w:r>
        <w:rPr>
          <w:rFonts w:ascii="仿宋" w:eastAsia="仿宋" w:hAnsi="仿宋" w:cs="仿宋" w:hint="eastAsia"/>
          <w:sz w:val="32"/>
          <w:szCs w:val="32"/>
        </w:rPr>
        <w:t>及以内地震动参数乘以</w:t>
      </w:r>
      <w:r>
        <w:rPr>
          <w:rFonts w:ascii="仿宋" w:eastAsia="仿宋" w:hAnsi="仿宋" w:cs="仿宋" w:hint="eastAsia"/>
          <w:sz w:val="32"/>
          <w:szCs w:val="32"/>
        </w:rPr>
        <w:t xml:space="preserve"> 1.5 </w:t>
      </w:r>
      <w:r>
        <w:rPr>
          <w:rFonts w:ascii="仿宋" w:eastAsia="仿宋" w:hAnsi="仿宋" w:cs="仿宋" w:hint="eastAsia"/>
          <w:sz w:val="32"/>
          <w:szCs w:val="32"/>
        </w:rPr>
        <w:t>增大系数，</w:t>
      </w:r>
      <w:r>
        <w:rPr>
          <w:rFonts w:ascii="仿宋" w:eastAsia="仿宋" w:hAnsi="仿宋" w:cs="仿宋" w:hint="eastAsia"/>
          <w:sz w:val="32"/>
          <w:szCs w:val="32"/>
        </w:rPr>
        <w:t xml:space="preserve">5km </w:t>
      </w:r>
      <w:r>
        <w:rPr>
          <w:rFonts w:ascii="仿宋" w:eastAsia="仿宋" w:hAnsi="仿宋" w:cs="仿宋" w:hint="eastAsia"/>
          <w:sz w:val="32"/>
          <w:szCs w:val="32"/>
        </w:rPr>
        <w:t>以外乘以不小于</w:t>
      </w:r>
      <w:r>
        <w:rPr>
          <w:rFonts w:ascii="仿宋" w:eastAsia="仿宋" w:hAnsi="仿宋" w:cs="仿宋" w:hint="eastAsia"/>
          <w:sz w:val="32"/>
          <w:szCs w:val="32"/>
        </w:rPr>
        <w:t xml:space="preserve"> 1.25 </w:t>
      </w:r>
      <w:r>
        <w:rPr>
          <w:rFonts w:ascii="仿宋" w:eastAsia="仿宋" w:hAnsi="仿宋" w:cs="仿宋" w:hint="eastAsia"/>
          <w:sz w:val="32"/>
          <w:szCs w:val="32"/>
        </w:rPr>
        <w:t>的增大系数；</w:t>
      </w:r>
    </w:p>
    <w:p w14:paraId="6A231CCE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概率性分析需给出</w:t>
      </w:r>
      <w:r>
        <w:rPr>
          <w:rFonts w:ascii="仿宋" w:eastAsia="仿宋" w:hAnsi="仿宋" w:cs="仿宋" w:hint="eastAsia"/>
          <w:sz w:val="32"/>
          <w:szCs w:val="32"/>
        </w:rPr>
        <w:t xml:space="preserve"> 50 </w:t>
      </w:r>
      <w:r>
        <w:rPr>
          <w:rFonts w:ascii="仿宋" w:eastAsia="仿宋" w:hAnsi="仿宋" w:cs="仿宋" w:hint="eastAsia"/>
          <w:sz w:val="32"/>
          <w:szCs w:val="32"/>
        </w:rPr>
        <w:t>年超越概率</w:t>
      </w:r>
      <w:r>
        <w:rPr>
          <w:rFonts w:ascii="仿宋" w:eastAsia="仿宋" w:hAnsi="仿宋" w:cs="仿宋" w:hint="eastAsia"/>
          <w:sz w:val="32"/>
          <w:szCs w:val="32"/>
        </w:rPr>
        <w:t xml:space="preserve"> 63%</w:t>
      </w:r>
      <w:r>
        <w:rPr>
          <w:rFonts w:ascii="仿宋" w:eastAsia="仿宋" w:hAnsi="仿宋" w:cs="仿宋" w:hint="eastAsia"/>
          <w:sz w:val="32"/>
          <w:szCs w:val="32"/>
        </w:rPr>
        <w:t>（多遇地震）、</w:t>
      </w:r>
      <w:r>
        <w:rPr>
          <w:rFonts w:ascii="仿宋" w:eastAsia="仿宋" w:hAnsi="仿宋" w:cs="仿宋" w:hint="eastAsia"/>
          <w:sz w:val="32"/>
          <w:szCs w:val="32"/>
        </w:rPr>
        <w:t>10%</w:t>
      </w:r>
      <w:r>
        <w:rPr>
          <w:rFonts w:ascii="仿宋" w:eastAsia="仿宋" w:hAnsi="仿宋" w:cs="仿宋" w:hint="eastAsia"/>
          <w:sz w:val="32"/>
          <w:szCs w:val="32"/>
        </w:rPr>
        <w:t>（设防地震）、</w:t>
      </w:r>
      <w:r>
        <w:rPr>
          <w:rFonts w:ascii="仿宋" w:eastAsia="仿宋" w:hAnsi="仿宋" w:cs="仿宋" w:hint="eastAsia"/>
          <w:sz w:val="32"/>
          <w:szCs w:val="32"/>
        </w:rPr>
        <w:t>2%</w:t>
      </w:r>
      <w:r>
        <w:rPr>
          <w:rFonts w:ascii="仿宋" w:eastAsia="仿宋" w:hAnsi="仿宋" w:cs="仿宋" w:hint="eastAsia"/>
          <w:sz w:val="32"/>
          <w:szCs w:val="32"/>
        </w:rPr>
        <w:t>（罕遇地震）的水平地震影响系数最大值及特征周期；</w:t>
      </w:r>
    </w:p>
    <w:p w14:paraId="56052062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针对</w:t>
      </w:r>
      <w:r>
        <w:rPr>
          <w:rFonts w:ascii="仿宋" w:eastAsia="仿宋" w:hAnsi="仿宋" w:cs="仿宋" w:hint="eastAsia"/>
          <w:sz w:val="32"/>
          <w:szCs w:val="32"/>
        </w:rPr>
        <w:t xml:space="preserve"> P3 </w:t>
      </w:r>
      <w:r>
        <w:rPr>
          <w:rFonts w:ascii="仿宋" w:eastAsia="仿宋" w:hAnsi="仿宋" w:cs="仿宋" w:hint="eastAsia"/>
          <w:sz w:val="32"/>
          <w:szCs w:val="32"/>
        </w:rPr>
        <w:t>实验室设计使用年限（若超过</w:t>
      </w:r>
      <w:r>
        <w:rPr>
          <w:rFonts w:ascii="仿宋" w:eastAsia="仿宋" w:hAnsi="仿宋" w:cs="仿宋" w:hint="eastAsia"/>
          <w:sz w:val="32"/>
          <w:szCs w:val="32"/>
        </w:rPr>
        <w:t xml:space="preserve"> 50 </w:t>
      </w:r>
      <w:r>
        <w:rPr>
          <w:rFonts w:ascii="仿宋" w:eastAsia="仿宋" w:hAnsi="仿宋" w:cs="仿宋" w:hint="eastAsia"/>
          <w:sz w:val="32"/>
          <w:szCs w:val="32"/>
        </w:rPr>
        <w:t>年），需专门研究调整地震作用参数。</w:t>
      </w:r>
    </w:p>
    <w:p w14:paraId="4B9D8033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（二）场地地震工程地质评价</w:t>
      </w:r>
    </w:p>
    <w:p w14:paraId="69A1EBD0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场地类别划分：根据土层等效剪切波速和覆盖层厚度，按</w:t>
      </w:r>
      <w:r>
        <w:rPr>
          <w:rFonts w:ascii="仿宋" w:eastAsia="仿宋" w:hAnsi="仿宋" w:cs="仿宋" w:hint="eastAsia"/>
          <w:sz w:val="32"/>
          <w:szCs w:val="32"/>
        </w:rPr>
        <w:t xml:space="preserve"> GB50011-2010 </w:t>
      </w:r>
      <w:r>
        <w:rPr>
          <w:rFonts w:ascii="仿宋" w:eastAsia="仿宋" w:hAnsi="仿宋" w:cs="仿宋" w:hint="eastAsia"/>
          <w:sz w:val="32"/>
          <w:szCs w:val="32"/>
        </w:rPr>
        <w:t>表</w:t>
      </w:r>
      <w:r>
        <w:rPr>
          <w:rFonts w:ascii="仿宋" w:eastAsia="仿宋" w:hAnsi="仿宋" w:cs="仿宋" w:hint="eastAsia"/>
          <w:sz w:val="32"/>
          <w:szCs w:val="32"/>
        </w:rPr>
        <w:t xml:space="preserve"> 4.1.6 </w:t>
      </w:r>
      <w:r>
        <w:rPr>
          <w:rFonts w:ascii="仿宋" w:eastAsia="仿宋" w:hAnsi="仿宋" w:cs="仿宋" w:hint="eastAsia"/>
          <w:sz w:val="32"/>
          <w:szCs w:val="32"/>
        </w:rPr>
        <w:t>划分为四类，临界值附近采用插值法确定特征周期；</w:t>
      </w:r>
    </w:p>
    <w:p w14:paraId="573CE413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液化判别：除</w:t>
      </w:r>
      <w:r>
        <w:rPr>
          <w:rFonts w:ascii="仿宋" w:eastAsia="仿宋" w:hAnsi="仿宋" w:cs="仿宋" w:hint="eastAsia"/>
          <w:sz w:val="32"/>
          <w:szCs w:val="32"/>
        </w:rPr>
        <w:t xml:space="preserve"> 6 </w:t>
      </w:r>
      <w:r>
        <w:rPr>
          <w:rFonts w:ascii="仿宋" w:eastAsia="仿宋" w:hAnsi="仿宋" w:cs="仿宋" w:hint="eastAsia"/>
          <w:sz w:val="32"/>
          <w:szCs w:val="32"/>
        </w:rPr>
        <w:t>度外，对场地饱和砂土、饱和粉土进行液化判别，明确液化等级并提出抗液化措施建议；</w:t>
      </w:r>
    </w:p>
    <w:p w14:paraId="0AAB3210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不良地质作用评价：重点核查是否存在活动断层、滑坡、地裂缝等危险地段，确保场地避开地震地质灾害危险区，无法避开时需提出专项处理方案；</w:t>
      </w:r>
    </w:p>
    <w:p w14:paraId="0E47237C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若场地位于条状山嘴、陡坡等不利地段，水平地震影响系数最大值需乘以</w:t>
      </w:r>
      <w:r>
        <w:rPr>
          <w:rFonts w:ascii="仿宋" w:eastAsia="仿宋" w:hAnsi="仿宋" w:cs="仿宋" w:hint="eastAsia"/>
          <w:sz w:val="32"/>
          <w:szCs w:val="32"/>
        </w:rPr>
        <w:t xml:space="preserve"> 1.1~1.6 </w:t>
      </w:r>
      <w:r>
        <w:rPr>
          <w:rFonts w:ascii="仿宋" w:eastAsia="仿宋" w:hAnsi="仿宋" w:cs="仿宋" w:hint="eastAsia"/>
          <w:sz w:val="32"/>
          <w:szCs w:val="32"/>
        </w:rPr>
        <w:t>的增大系数。</w:t>
      </w:r>
    </w:p>
    <w:p w14:paraId="7F3091EE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（三）设计地震动参数确定</w:t>
      </w:r>
    </w:p>
    <w:p w14:paraId="1A4F01C5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提供场地水平向、竖向地震动加速度峰值、反应谱及相关时程曲线，满足抗震性能化设计需求；</w:t>
      </w:r>
    </w:p>
    <w:p w14:paraId="63C352CA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针对实验室特殊结构（如大跨度管道支架、重型设备基础），需补充竖向地震作用计算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 xml:space="preserve">9 </w:t>
      </w:r>
      <w:r>
        <w:rPr>
          <w:rFonts w:ascii="仿宋" w:eastAsia="仿宋" w:hAnsi="仿宋" w:cs="仿宋" w:hint="eastAsia"/>
          <w:sz w:val="32"/>
          <w:szCs w:val="32"/>
        </w:rPr>
        <w:t>度时）；</w:t>
      </w:r>
    </w:p>
    <w:p w14:paraId="421800C5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3.</w:t>
      </w:r>
      <w:r>
        <w:rPr>
          <w:rFonts w:ascii="仿宋" w:eastAsia="仿宋" w:hAnsi="仿宋" w:cs="仿宋" w:hint="eastAsia"/>
          <w:sz w:val="32"/>
          <w:szCs w:val="32"/>
        </w:rPr>
        <w:t>地震动参数应与</w:t>
      </w:r>
      <w:r>
        <w:rPr>
          <w:rFonts w:ascii="仿宋" w:eastAsia="仿宋" w:hAnsi="仿宋" w:cs="仿宋" w:hint="eastAsia"/>
          <w:sz w:val="32"/>
          <w:szCs w:val="32"/>
        </w:rPr>
        <w:t xml:space="preserve"> GB55002-2021</w:t>
      </w:r>
      <w:r>
        <w:rPr>
          <w:rFonts w:ascii="仿宋" w:eastAsia="仿宋" w:hAnsi="仿宋" w:cs="仿宋" w:hint="eastAsia"/>
          <w:sz w:val="32"/>
          <w:szCs w:val="32"/>
        </w:rPr>
        <w:t>《建筑与市政工程抗震通用规范》协调一致，且不低于武汉市对人员密集型重大工程的提高一档设防要求。</w:t>
      </w:r>
    </w:p>
    <w:p w14:paraId="3E460931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（四）抗震性能适配性分析</w:t>
      </w:r>
    </w:p>
    <w:p w14:paraId="4EB245DB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结合</w:t>
      </w:r>
      <w:r>
        <w:rPr>
          <w:rFonts w:ascii="仿宋" w:eastAsia="仿宋" w:hAnsi="仿宋" w:cs="仿宋" w:hint="eastAsia"/>
          <w:sz w:val="32"/>
          <w:szCs w:val="32"/>
        </w:rPr>
        <w:t xml:space="preserve"> P3 </w:t>
      </w:r>
      <w:r>
        <w:rPr>
          <w:rFonts w:ascii="仿宋" w:eastAsia="仿宋" w:hAnsi="仿宋" w:cs="仿宋" w:hint="eastAsia"/>
          <w:sz w:val="32"/>
          <w:szCs w:val="32"/>
        </w:rPr>
        <w:t>实验室抗震设防类别（甲类或乙类），评价场地条件对结构抗震性能的影响，明确关键部位（如生物安全屏障墙体、通风系统支架）的场地响应特征；</w:t>
      </w:r>
    </w:p>
    <w:p w14:paraId="598A1353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分析场地岩土参数与结构材料性能的匹配性，验证混凝土（</w:t>
      </w:r>
      <w:r>
        <w:rPr>
          <w:rFonts w:ascii="仿宋" w:eastAsia="仿宋" w:hAnsi="仿宋" w:cs="仿宋" w:hint="eastAsia"/>
          <w:sz w:val="32"/>
          <w:szCs w:val="32"/>
        </w:rPr>
        <w:t xml:space="preserve">C30 </w:t>
      </w:r>
      <w:r>
        <w:rPr>
          <w:rFonts w:ascii="仿宋" w:eastAsia="仿宋" w:hAnsi="仿宋" w:cs="仿宋" w:hint="eastAsia"/>
          <w:sz w:val="32"/>
          <w:szCs w:val="32"/>
        </w:rPr>
        <w:t>及以上）、钢筋（抗拉强度实测值</w:t>
      </w:r>
      <w:r>
        <w:rPr>
          <w:rFonts w:ascii="仿宋" w:eastAsia="仿宋" w:hAnsi="仿宋" w:cs="仿宋" w:hint="eastAsia"/>
          <w:sz w:val="32"/>
          <w:szCs w:val="32"/>
        </w:rPr>
        <w:t xml:space="preserve"> / </w:t>
      </w:r>
      <w:r>
        <w:rPr>
          <w:rFonts w:ascii="仿宋" w:eastAsia="仿宋" w:hAnsi="仿宋" w:cs="仿宋" w:hint="eastAsia"/>
          <w:sz w:val="32"/>
          <w:szCs w:val="32"/>
        </w:rPr>
        <w:t>屈服强度实测值≥</w:t>
      </w:r>
      <w:r>
        <w:rPr>
          <w:rFonts w:ascii="仿宋" w:eastAsia="仿宋" w:hAnsi="仿宋" w:cs="仿宋" w:hint="eastAsia"/>
          <w:sz w:val="32"/>
          <w:szCs w:val="32"/>
        </w:rPr>
        <w:t>1.25</w:t>
      </w:r>
      <w:r>
        <w:rPr>
          <w:rFonts w:ascii="仿宋" w:eastAsia="仿宋" w:hAnsi="仿宋" w:cs="仿宋" w:hint="eastAsia"/>
          <w:sz w:val="32"/>
          <w:szCs w:val="32"/>
        </w:rPr>
        <w:t>）等材料的抗震适配性；</w:t>
      </w:r>
    </w:p>
    <w:p w14:paraId="50AC2A68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对非结构构件（如管道、仪</w:t>
      </w:r>
      <w:r>
        <w:rPr>
          <w:rFonts w:ascii="仿宋" w:eastAsia="仿宋" w:hAnsi="仿宋" w:cs="仿宋" w:hint="eastAsia"/>
          <w:sz w:val="32"/>
          <w:szCs w:val="32"/>
        </w:rPr>
        <w:t>器支座）的场地地震响应进行评估，提出连接节点抗震加强建议。</w:t>
      </w:r>
    </w:p>
    <w:p w14:paraId="43BDC4FD" w14:textId="77777777" w:rsidR="00A07B4A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四、成果交付要求</w:t>
      </w:r>
    </w:p>
    <w:p w14:paraId="1C6FA623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（一）报告编制规范</w:t>
      </w:r>
    </w:p>
    <w:p w14:paraId="69C11CA0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报告结构应包括前言、区域地震构造、场地工程地质、地震危险性分析、场地评价、参数确定、结论与建议等章节，符合</w:t>
      </w:r>
      <w:r>
        <w:rPr>
          <w:rFonts w:ascii="仿宋" w:eastAsia="仿宋" w:hAnsi="仿宋" w:cs="仿宋" w:hint="eastAsia"/>
          <w:sz w:val="32"/>
          <w:szCs w:val="32"/>
        </w:rPr>
        <w:t xml:space="preserve"> GB17741-2025 </w:t>
      </w:r>
      <w:r>
        <w:rPr>
          <w:rFonts w:ascii="仿宋" w:eastAsia="仿宋" w:hAnsi="仿宋" w:cs="仿宋" w:hint="eastAsia"/>
          <w:sz w:val="32"/>
          <w:szCs w:val="32"/>
        </w:rPr>
        <w:t>格式要求；</w:t>
      </w:r>
    </w:p>
    <w:p w14:paraId="6BFF6639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明确引用标准的具体条文，对与地方规定的衔接内容单独说明，附省级地震部门数据验证文件；</w:t>
      </w:r>
    </w:p>
    <w:p w14:paraId="6ACBE73C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报告需包含抗震设防专篇内容，明确场地抗震性能目标及与设计的衔接要点。</w:t>
      </w:r>
    </w:p>
    <w:p w14:paraId="6C29AAC6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（二）附图附件</w:t>
      </w:r>
    </w:p>
    <w:p w14:paraId="52D9F06E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必备附图：区域地震构造图、近场区活动断层分布图、场地工程地质剖面图、场地类别分区</w:t>
      </w:r>
      <w:r>
        <w:rPr>
          <w:rFonts w:ascii="仿宋" w:eastAsia="仿宋" w:hAnsi="仿宋" w:cs="仿宋" w:hint="eastAsia"/>
          <w:sz w:val="32"/>
          <w:szCs w:val="32"/>
        </w:rPr>
        <w:t>图、地震动参数等值线图；</w:t>
      </w:r>
    </w:p>
    <w:p w14:paraId="7A3A79E5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2.</w:t>
      </w:r>
      <w:r>
        <w:rPr>
          <w:rFonts w:ascii="仿宋" w:eastAsia="仿宋" w:hAnsi="仿宋" w:cs="仿宋" w:hint="eastAsia"/>
          <w:sz w:val="32"/>
          <w:szCs w:val="32"/>
        </w:rPr>
        <w:t>必备附件：岩土测试报告、地震数据验证文件、计算模型及参数取值说明、与设计单位对接记录；</w:t>
      </w:r>
    </w:p>
    <w:p w14:paraId="793D712A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所有附图需采用武汉市</w:t>
      </w:r>
      <w:r>
        <w:rPr>
          <w:rFonts w:ascii="仿宋" w:eastAsia="仿宋" w:hAnsi="仿宋" w:cs="仿宋" w:hint="eastAsia"/>
          <w:sz w:val="32"/>
          <w:szCs w:val="32"/>
        </w:rPr>
        <w:t xml:space="preserve"> 2000 </w:t>
      </w:r>
      <w:r>
        <w:rPr>
          <w:rFonts w:ascii="仿宋" w:eastAsia="仿宋" w:hAnsi="仿宋" w:cs="仿宋" w:hint="eastAsia"/>
          <w:sz w:val="32"/>
          <w:szCs w:val="32"/>
        </w:rPr>
        <w:t>坐标系，比例尺满足工程设计要求。</w:t>
      </w:r>
    </w:p>
    <w:p w14:paraId="22A3BDF0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（三）审查与验证要求</w:t>
      </w:r>
    </w:p>
    <w:p w14:paraId="0CF1E0DD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报告需经湖北省或武汉市地震工作主管部门技术审查，附审查意见及整改说明；</w:t>
      </w:r>
    </w:p>
    <w:p w14:paraId="45AD8E0E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地震动衰减模型需通过区域历史地震数据拟合度验证，勘测数据可靠性需符合福建省类似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“一票否决”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的质量标准；</w:t>
      </w:r>
    </w:p>
    <w:p w14:paraId="48820AB1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提供参数计算过程复算说明，确保结果可追溯、可验证。</w:t>
      </w:r>
    </w:p>
    <w:p w14:paraId="453F8888" w14:textId="77777777" w:rsidR="00A07B4A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五、质量与进度保障</w:t>
      </w:r>
    </w:p>
    <w:p w14:paraId="6950E626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（一）质量责任</w:t>
      </w:r>
    </w:p>
    <w:p w14:paraId="0FF27190" w14:textId="77777777" w:rsidR="00A07B4A" w:rsidRDefault="00EC3C92">
      <w:pPr>
        <w:pStyle w:val="Style1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评价单位需对数据真实性、计算准确性、结论科学性终身负责，配备具备地震安全性评价甲级资质及</w:t>
      </w:r>
      <w:r>
        <w:rPr>
          <w:rFonts w:ascii="仿宋" w:eastAsia="仿宋" w:hAnsi="仿宋" w:cs="仿宋" w:hint="eastAsia"/>
          <w:sz w:val="32"/>
          <w:szCs w:val="32"/>
        </w:rPr>
        <w:t xml:space="preserve"> P3 </w:t>
      </w:r>
      <w:r>
        <w:rPr>
          <w:rFonts w:ascii="仿宋" w:eastAsia="仿宋" w:hAnsi="仿宋" w:cs="仿宋" w:hint="eastAsia"/>
          <w:sz w:val="32"/>
          <w:szCs w:val="32"/>
        </w:rPr>
        <w:t>实验室项目经验的技术团队。</w:t>
      </w:r>
    </w:p>
    <w:p w14:paraId="641B698F" w14:textId="77777777" w:rsidR="00A07B4A" w:rsidRDefault="00EC3C92">
      <w:pPr>
        <w:pStyle w:val="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（二）进度要求</w:t>
      </w:r>
    </w:p>
    <w:p w14:paraId="0A52044A" w14:textId="77777777" w:rsidR="00A07B4A" w:rsidRDefault="00EC3C92">
      <w:pPr>
        <w:pStyle w:val="Style13"/>
        <w:rPr>
          <w:rFonts w:ascii="仿宋" w:eastAsia="仿宋" w:hAnsi="仿宋" w:cs="仿宋"/>
          <w:sz w:val="32"/>
          <w:szCs w:val="32"/>
        </w:rPr>
      </w:pPr>
      <w:r w:rsidRPr="00745251">
        <w:rPr>
          <w:rFonts w:ascii="仿宋" w:eastAsia="仿宋" w:hAnsi="仿宋" w:cs="仿宋" w:hint="eastAsia"/>
          <w:sz w:val="32"/>
          <w:szCs w:val="32"/>
        </w:rPr>
        <w:t>自合同生效之日起</w:t>
      </w:r>
      <w:r w:rsidRPr="00745251">
        <w:rPr>
          <w:rFonts w:ascii="仿宋" w:eastAsia="仿宋" w:hAnsi="仿宋" w:cs="仿宋" w:hint="eastAsia"/>
          <w:sz w:val="32"/>
          <w:szCs w:val="32"/>
        </w:rPr>
        <w:t>25</w:t>
      </w:r>
      <w:r w:rsidRPr="00745251">
        <w:rPr>
          <w:rFonts w:ascii="仿宋" w:eastAsia="仿宋" w:hAnsi="仿宋" w:cs="仿宋" w:hint="eastAsia"/>
          <w:sz w:val="32"/>
          <w:szCs w:val="32"/>
        </w:rPr>
        <w:t>日内提交初稿，审查意见反馈后</w:t>
      </w:r>
      <w:r w:rsidRPr="00745251">
        <w:rPr>
          <w:rFonts w:ascii="仿宋" w:eastAsia="仿宋" w:hAnsi="仿宋" w:cs="仿宋" w:hint="eastAsia"/>
          <w:sz w:val="32"/>
          <w:szCs w:val="32"/>
        </w:rPr>
        <w:t>5</w:t>
      </w:r>
      <w:r w:rsidRPr="00745251">
        <w:rPr>
          <w:rFonts w:ascii="仿宋" w:eastAsia="仿宋" w:hAnsi="仿宋" w:cs="仿宋" w:hint="eastAsia"/>
          <w:sz w:val="32"/>
          <w:szCs w:val="32"/>
        </w:rPr>
        <w:t>日内完成修改并提交终稿，配合设计单位进行参数对接答疑。</w:t>
      </w:r>
    </w:p>
    <w:p w14:paraId="2265BF7C" w14:textId="405B0892" w:rsidR="00114F51" w:rsidRDefault="00EC3C92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六、</w:t>
      </w:r>
      <w:r w:rsidR="00114F51">
        <w:rPr>
          <w:rFonts w:ascii="仿宋" w:eastAsia="仿宋" w:hAnsi="仿宋" w:cs="仿宋" w:hint="eastAsia"/>
        </w:rPr>
        <w:t>付款方式</w:t>
      </w:r>
    </w:p>
    <w:p w14:paraId="6A337647" w14:textId="77777777" w:rsidR="00CF1648" w:rsidRPr="00CF1648" w:rsidRDefault="00CF1648" w:rsidP="00CF1648">
      <w:pPr>
        <w:pStyle w:val="Style13"/>
        <w:rPr>
          <w:rFonts w:ascii="仿宋" w:eastAsia="仿宋" w:hAnsi="仿宋" w:cs="仿宋" w:hint="eastAsia"/>
          <w:sz w:val="32"/>
          <w:szCs w:val="32"/>
        </w:rPr>
      </w:pPr>
      <w:r w:rsidRPr="00CF1648">
        <w:rPr>
          <w:rFonts w:ascii="仿宋" w:eastAsia="仿宋" w:hAnsi="仿宋" w:cs="仿宋" w:hint="eastAsia"/>
          <w:sz w:val="32"/>
          <w:szCs w:val="32"/>
        </w:rPr>
        <w:t>本次采购付款方式如下：</w:t>
      </w:r>
    </w:p>
    <w:p w14:paraId="534D740F" w14:textId="77777777" w:rsidR="00CF1648" w:rsidRPr="00CF1648" w:rsidRDefault="00CF1648" w:rsidP="00CF1648">
      <w:pPr>
        <w:pStyle w:val="Style13"/>
        <w:rPr>
          <w:rFonts w:ascii="仿宋" w:eastAsia="仿宋" w:hAnsi="仿宋" w:cs="仿宋" w:hint="eastAsia"/>
          <w:sz w:val="32"/>
          <w:szCs w:val="32"/>
        </w:rPr>
      </w:pPr>
      <w:r w:rsidRPr="00CF1648">
        <w:rPr>
          <w:rFonts w:ascii="仿宋" w:eastAsia="仿宋" w:hAnsi="仿宋" w:cs="仿宋" w:hint="eastAsia"/>
          <w:sz w:val="32"/>
          <w:szCs w:val="32"/>
        </w:rPr>
        <w:t>①合同签订后 15 个工作日内，招标人向中标人支付合同总额的 30% 作为预付款；</w:t>
      </w:r>
    </w:p>
    <w:p w14:paraId="5D6A3D5D" w14:textId="77777777" w:rsidR="00CF1648" w:rsidRPr="00CF1648" w:rsidRDefault="00CF1648" w:rsidP="00CF1648">
      <w:pPr>
        <w:pStyle w:val="Style13"/>
        <w:rPr>
          <w:rFonts w:ascii="仿宋" w:eastAsia="仿宋" w:hAnsi="仿宋" w:cs="仿宋" w:hint="eastAsia"/>
          <w:sz w:val="32"/>
          <w:szCs w:val="32"/>
        </w:rPr>
      </w:pPr>
      <w:r w:rsidRPr="00CF1648">
        <w:rPr>
          <w:rFonts w:ascii="仿宋" w:eastAsia="仿宋" w:hAnsi="仿宋" w:cs="仿宋" w:hint="eastAsia"/>
          <w:sz w:val="32"/>
          <w:szCs w:val="32"/>
        </w:rPr>
        <w:lastRenderedPageBreak/>
        <w:t>②报告通过相关主管部门评审并完成备案，中标人提交备案证明文件及全额增值税专用发票后 15 个工作日内，支付合同总额的 65%；</w:t>
      </w:r>
    </w:p>
    <w:p w14:paraId="4FC0F16D" w14:textId="77777777" w:rsidR="00CF1648" w:rsidRPr="00CF1648" w:rsidRDefault="00CF1648" w:rsidP="00CF1648">
      <w:pPr>
        <w:pStyle w:val="Style13"/>
        <w:rPr>
          <w:rFonts w:ascii="仿宋" w:eastAsia="仿宋" w:hAnsi="仿宋" w:cs="仿宋" w:hint="eastAsia"/>
          <w:sz w:val="32"/>
          <w:szCs w:val="32"/>
        </w:rPr>
      </w:pPr>
      <w:r w:rsidRPr="00CF1648">
        <w:rPr>
          <w:rFonts w:ascii="仿宋" w:eastAsia="仿宋" w:hAnsi="仿宋" w:cs="仿宋" w:hint="eastAsia"/>
          <w:sz w:val="32"/>
          <w:szCs w:val="32"/>
        </w:rPr>
        <w:t>③剩余合同总额的 5% 作为质保金，自备案完成之日起满 1 年且无质量问题（如报告无遗漏、无技术错误导致后续建设问题等）后 15 个工作日内一次性付清；</w:t>
      </w:r>
    </w:p>
    <w:p w14:paraId="2B757CC9" w14:textId="37FAB7DE" w:rsidR="00097A3C" w:rsidRPr="00847EA4" w:rsidRDefault="00CF1648" w:rsidP="00CF1648">
      <w:pPr>
        <w:pStyle w:val="Style13"/>
        <w:rPr>
          <w:rFonts w:ascii="仿宋" w:eastAsia="仿宋" w:hAnsi="仿宋" w:cs="仿宋" w:hint="eastAsia"/>
          <w:sz w:val="32"/>
          <w:szCs w:val="32"/>
        </w:rPr>
      </w:pPr>
      <w:r w:rsidRPr="00CF1648">
        <w:rPr>
          <w:rFonts w:ascii="仿宋" w:eastAsia="仿宋" w:hAnsi="仿宋" w:cs="仿宋" w:hint="eastAsia"/>
          <w:sz w:val="32"/>
          <w:szCs w:val="32"/>
        </w:rPr>
        <w:t>④其中合同总额 50% 的款项（可从上述任意付款节点中选择）以 6 个月期</w:t>
      </w:r>
      <w:r w:rsidRPr="00847EA4">
        <w:rPr>
          <w:rFonts w:ascii="仿宋" w:eastAsia="仿宋" w:hAnsi="仿宋" w:cs="仿宋" w:hint="eastAsia"/>
          <w:sz w:val="32"/>
          <w:szCs w:val="32"/>
        </w:rPr>
        <w:t>银行承兑汇票方式支付，其余款项以银行转账方式支付。</w:t>
      </w:r>
      <w:bookmarkStart w:id="0" w:name="_GoBack"/>
      <w:bookmarkEnd w:id="0"/>
    </w:p>
    <w:p w14:paraId="1605B28E" w14:textId="4FE98484" w:rsidR="00A07B4A" w:rsidRDefault="00114F51">
      <w:pPr>
        <w:pStyle w:val="2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七、</w:t>
      </w:r>
      <w:r w:rsidR="00EC3C92">
        <w:rPr>
          <w:rFonts w:ascii="仿宋" w:eastAsia="仿宋" w:hAnsi="仿宋" w:cs="仿宋" w:hint="eastAsia"/>
        </w:rPr>
        <w:t>其他</w:t>
      </w:r>
    </w:p>
    <w:p w14:paraId="28C137C1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报告需同时提供纸质版（</w:t>
      </w:r>
      <w:r>
        <w:rPr>
          <w:rFonts w:ascii="仿宋" w:eastAsia="仿宋" w:hAnsi="仿宋" w:cs="仿宋" w:hint="eastAsia"/>
          <w:sz w:val="32"/>
          <w:szCs w:val="32"/>
        </w:rPr>
        <w:t xml:space="preserve">6 </w:t>
      </w:r>
      <w:r>
        <w:rPr>
          <w:rFonts w:ascii="仿宋" w:eastAsia="仿宋" w:hAnsi="仿宋" w:cs="仿宋" w:hint="eastAsia"/>
          <w:sz w:val="32"/>
          <w:szCs w:val="32"/>
        </w:rPr>
        <w:t>份</w:t>
      </w:r>
      <w:r>
        <w:rPr>
          <w:rFonts w:ascii="仿宋" w:eastAsia="仿宋" w:hAnsi="仿宋" w:cs="仿宋" w:hint="eastAsia"/>
          <w:sz w:val="32"/>
          <w:szCs w:val="32"/>
        </w:rPr>
        <w:t>或者实际使用数量</w:t>
      </w:r>
      <w:r>
        <w:rPr>
          <w:rFonts w:ascii="仿宋" w:eastAsia="仿宋" w:hAnsi="仿宋" w:cs="仿宋" w:hint="eastAsia"/>
          <w:sz w:val="32"/>
          <w:szCs w:val="32"/>
        </w:rPr>
        <w:t>）及电子版（</w:t>
      </w:r>
      <w:r>
        <w:rPr>
          <w:rFonts w:ascii="仿宋" w:eastAsia="仿宋" w:hAnsi="仿宋" w:cs="仿宋" w:hint="eastAsia"/>
          <w:sz w:val="32"/>
          <w:szCs w:val="32"/>
        </w:rPr>
        <w:t xml:space="preserve">PDF </w:t>
      </w:r>
      <w:r>
        <w:rPr>
          <w:rFonts w:ascii="仿宋" w:eastAsia="仿宋" w:hAnsi="仿宋" w:cs="仿宋" w:hint="eastAsia"/>
          <w:sz w:val="32"/>
          <w:szCs w:val="32"/>
        </w:rPr>
        <w:t>格式，含可编辑附图文件）；</w:t>
      </w:r>
    </w:p>
    <w:p w14:paraId="0E5AD432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涉及场地隐私的勘测数据需按武汉市相关规定保密存档；</w:t>
      </w:r>
    </w:p>
    <w:p w14:paraId="1A7EC9E3" w14:textId="77777777" w:rsidR="00A07B4A" w:rsidRDefault="00EC3C92">
      <w:pPr>
        <w:pStyle w:val="Style13"/>
        <w:ind w:left="288" w:hanging="288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未尽事宜需符合国家及湖北省、武汉市现行最新标准规范。</w:t>
      </w:r>
    </w:p>
    <w:sectPr w:rsidR="00A07B4A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3B5DE7" w14:textId="77777777" w:rsidR="00EC3C92" w:rsidRDefault="00EC3C92" w:rsidP="00745251">
      <w:r>
        <w:separator/>
      </w:r>
    </w:p>
  </w:endnote>
  <w:endnote w:type="continuationSeparator" w:id="0">
    <w:p w14:paraId="279BCA1A" w14:textId="77777777" w:rsidR="00EC3C92" w:rsidRDefault="00EC3C92" w:rsidP="00745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EEC3A" w14:textId="77777777" w:rsidR="00EC3C92" w:rsidRDefault="00EC3C92" w:rsidP="00745251">
      <w:r>
        <w:separator/>
      </w:r>
    </w:p>
  </w:footnote>
  <w:footnote w:type="continuationSeparator" w:id="0">
    <w:p w14:paraId="5271F8BB" w14:textId="77777777" w:rsidR="00EC3C92" w:rsidRDefault="00EC3C92" w:rsidP="007452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jZmVkYTM1ZWM3ZjBkMWQ3YWFlNzg5MzIwZjhlZjcifQ=="/>
  </w:docVars>
  <w:rsids>
    <w:rsidRoot w:val="00A07B4A"/>
    <w:rsid w:val="00097A3C"/>
    <w:rsid w:val="00114F51"/>
    <w:rsid w:val="00745251"/>
    <w:rsid w:val="00847EA4"/>
    <w:rsid w:val="00A07B4A"/>
    <w:rsid w:val="00C820DD"/>
    <w:rsid w:val="00CF1648"/>
    <w:rsid w:val="00EC3C92"/>
    <w:rsid w:val="5EFB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50208C-D2B3-4211-9C30-1FDBC1A69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/>
    <w:lsdException w:name="caption" w:semiHidden="1" w:unhideWhenUsed="1" w:qFormat="1"/>
    <w:lsdException w:name="footnote reference" w:semiHidden="1" w:uiPriority="99" w:unhideWhenUsed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Char"/>
    <w:uiPriority w:val="99"/>
    <w:semiHidden/>
    <w:unhideWhenUsed/>
  </w:style>
  <w:style w:type="paragraph" w:styleId="a4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List Paragraph"/>
    <w:qFormat/>
    <w:rPr>
      <w:sz w:val="21"/>
      <w:szCs w:val="22"/>
    </w:rPr>
  </w:style>
  <w:style w:type="character" w:customStyle="1" w:styleId="Char">
    <w:name w:val="脚注文本 Char"/>
    <w:link w:val="a3"/>
    <w:uiPriority w:val="99"/>
    <w:semiHidden/>
    <w:unhideWhenUsed/>
    <w:rPr>
      <w:sz w:val="20"/>
      <w:szCs w:val="20"/>
    </w:rPr>
  </w:style>
  <w:style w:type="paragraph" w:customStyle="1" w:styleId="Style13">
    <w:name w:val="_Style 13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8">
    <w:name w:val="header"/>
    <w:basedOn w:val="a"/>
    <w:link w:val="Char0"/>
    <w:rsid w:val="00745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745251"/>
    <w:rPr>
      <w:sz w:val="18"/>
      <w:szCs w:val="18"/>
    </w:rPr>
  </w:style>
  <w:style w:type="paragraph" w:styleId="a9">
    <w:name w:val="footer"/>
    <w:basedOn w:val="a"/>
    <w:link w:val="Char1"/>
    <w:rsid w:val="00745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7452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国药动保公文收发文员</cp:lastModifiedBy>
  <cp:revision>7</cp:revision>
  <dcterms:created xsi:type="dcterms:W3CDTF">2025-11-05T07:03:00Z</dcterms:created>
  <dcterms:modified xsi:type="dcterms:W3CDTF">2025-11-07T06:53:00Z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1D57256BE00842DD94626C8E51A62C0D_12</vt:lpwstr>
  </property>
</Properties>
</file>