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Toc482717189"/>
      <w:bookmarkStart w:id="1" w:name="_Toc483400307"/>
      <w:bookmarkStart w:id="2" w:name="_Toc483666358"/>
      <w:bookmarkStart w:id="3" w:name="_Toc484532399"/>
      <w:bookmarkStart w:id="4" w:name="_Toc483227223"/>
    </w:p>
    <w:p>
      <w:pPr>
        <w:spacing w:afterLines="50"/>
        <w:jc w:val="center"/>
        <w:rPr>
          <w:i/>
          <w:color w:val="00B0F0"/>
          <w:lang w:val="zh-CN" w:eastAsia="zh-CN"/>
        </w:rPr>
      </w:pPr>
      <w:r>
        <w:rPr>
          <w:rFonts w:hint="eastAsia"/>
          <w:b/>
          <w:sz w:val="28"/>
          <w:szCs w:val="28"/>
          <w:lang w:eastAsia="zh-CN"/>
        </w:rPr>
        <w:t>质量管理部质检室迷你型化学发光/荧光成像仪用户需求说明（</w:t>
      </w:r>
      <w:r>
        <w:rPr>
          <w:b/>
          <w:sz w:val="28"/>
          <w:szCs w:val="28"/>
          <w:lang w:eastAsia="zh-CN"/>
        </w:rPr>
        <w:t>URS</w:t>
      </w:r>
      <w:r>
        <w:rPr>
          <w:rFonts w:hint="eastAsia"/>
          <w:b/>
          <w:szCs w:val="21"/>
          <w:lang w:eastAsia="zh-CN"/>
        </w:rPr>
        <w:t>）</w:t>
      </w:r>
      <w:bookmarkEnd w:id="0"/>
      <w:bookmarkEnd w:id="1"/>
      <w:bookmarkEnd w:id="2"/>
      <w:bookmarkEnd w:id="3"/>
      <w:bookmarkEnd w:id="4"/>
    </w:p>
    <w:p>
      <w:pPr>
        <w:rPr>
          <w:lang w:val="en-US" w:eastAsia="zh-CN"/>
        </w:rPr>
      </w:pPr>
      <w:bookmarkStart w:id="5" w:name="_Toc522107734"/>
    </w:p>
    <w:bookmarkEnd w:id="5"/>
    <w:p>
      <w:pPr>
        <w:pStyle w:val="53"/>
        <w:spacing w:before="0" w:line="360" w:lineRule="auto"/>
        <w:ind w:firstLine="480" w:firstLineChars="200"/>
        <w:jc w:val="left"/>
        <w:rPr>
          <w:szCs w:val="21"/>
          <w:lang w:eastAsia="zh-CN"/>
        </w:rPr>
      </w:pPr>
    </w:p>
    <w:p>
      <w:pPr>
        <w:pStyle w:val="44"/>
        <w:numPr>
          <w:ilvl w:val="0"/>
          <w:numId w:val="3"/>
        </w:numPr>
        <w:spacing w:afterLines="50"/>
        <w:ind w:left="426" w:hanging="426" w:hangingChars="202"/>
        <w:outlineLvl w:val="0"/>
        <w:rPr>
          <w:rFonts w:ascii="Times New Roman" w:hAnsi="Times New Roman"/>
          <w:b/>
          <w:szCs w:val="21"/>
        </w:rPr>
      </w:pPr>
      <w:bookmarkStart w:id="6" w:name="_Toc522716120"/>
      <w:r>
        <w:rPr>
          <w:rFonts w:hint="eastAsia" w:ascii="Times New Roman" w:hAnsi="Times New Roman"/>
          <w:b/>
          <w:szCs w:val="21"/>
        </w:rPr>
        <w:t>安装要求</w:t>
      </w:r>
      <w:bookmarkEnd w:id="6"/>
    </w:p>
    <w:p>
      <w:pPr>
        <w:pStyle w:val="44"/>
        <w:spacing w:afterLines="50"/>
        <w:ind w:left="425" w:firstLine="0" w:firstLineChars="0"/>
        <w:rPr>
          <w:rFonts w:ascii="Times New Roman" w:hAnsi="Times New Roman"/>
          <w:szCs w:val="21"/>
        </w:rPr>
      </w:pPr>
    </w:p>
    <w:tbl>
      <w:tblPr>
        <w:tblStyle w:val="19"/>
        <w:tblW w:w="105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7128"/>
        <w:gridCol w:w="2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</w:rPr>
            </w:pPr>
            <w:bookmarkStart w:id="7" w:name="OLE_LINK1"/>
            <w:bookmarkStart w:id="8" w:name="OLE_LINK2"/>
            <w:r>
              <w:rPr>
                <w:rFonts w:hint="eastAsia"/>
                <w:b/>
                <w:szCs w:val="21"/>
              </w:rPr>
              <w:t>编号</w:t>
            </w:r>
          </w:p>
        </w:tc>
        <w:tc>
          <w:tcPr>
            <w:tcW w:w="7128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需求</w:t>
            </w:r>
          </w:p>
        </w:tc>
        <w:tc>
          <w:tcPr>
            <w:tcW w:w="2125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关键程度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600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szCs w:val="21"/>
                <w:lang w:eastAsia="zh-CN"/>
              </w:rPr>
              <w:t xml:space="preserve"> </w:t>
            </w:r>
            <w:r>
              <w:rPr>
                <w:rFonts w:hint="eastAsia"/>
                <w:szCs w:val="21"/>
                <w:lang w:eastAsia="zh-CN"/>
              </w:rPr>
              <w:t>安装位置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/>
                <w:color w:val="0070C0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质量管理部质检室</w:t>
            </w:r>
            <w:r>
              <w:rPr>
                <w:rFonts w:hint="eastAsia"/>
                <w:szCs w:val="21"/>
                <w:lang w:val="en-US" w:eastAsia="zh-CN"/>
              </w:rPr>
              <w:t>产物分析室</w:t>
            </w:r>
            <w:r>
              <w:rPr>
                <w:rFonts w:hint="eastAsia"/>
                <w:szCs w:val="21"/>
                <w:lang w:eastAsia="zh-CN"/>
              </w:rPr>
              <w:t>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i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提供防止镜头产生冷凝水的方案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非常</w:t>
            </w: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600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2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安装尺寸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安装桌面的尺寸不少于</w:t>
            </w:r>
            <w:r>
              <w:rPr>
                <w:szCs w:val="21"/>
                <w:lang w:val="en-US" w:eastAsia="zh-CN"/>
              </w:rPr>
              <w:t>0.6m</w:t>
            </w:r>
            <w:r>
              <w:rPr>
                <w:rFonts w:hint="eastAsia"/>
                <w:szCs w:val="21"/>
                <w:lang w:val="en-US" w:eastAsia="zh-CN"/>
              </w:rPr>
              <w:t>宽，</w:t>
            </w:r>
            <w:r>
              <w:rPr>
                <w:szCs w:val="21"/>
                <w:lang w:val="en-US" w:eastAsia="zh-CN"/>
              </w:rPr>
              <w:t>1 m</w:t>
            </w:r>
            <w:r>
              <w:rPr>
                <w:rFonts w:hint="eastAsia"/>
                <w:szCs w:val="21"/>
                <w:lang w:val="en-US" w:eastAsia="zh-CN"/>
              </w:rPr>
              <w:t>长。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设备的形式尺寸应符合制造商说明书及技术文件规定的要求。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供应商必须给出设备选型方案及相应附件选型方案，并交给我公司使用部门及工程类部门审核。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600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3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承重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整机和电脑不超过15</w:t>
            </w:r>
            <w:r>
              <w:rPr>
                <w:szCs w:val="21"/>
                <w:lang w:val="en-US" w:eastAsia="zh-CN"/>
              </w:rPr>
              <w:t>kg</w:t>
            </w:r>
            <w:r>
              <w:rPr>
                <w:rFonts w:hint="eastAsia"/>
                <w:szCs w:val="21"/>
                <w:lang w:val="en-US" w:eastAsia="zh-CN"/>
              </w:rPr>
              <w:t>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600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4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洁净级别和房间环境条件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2"/>
                <w:lang w:eastAsia="zh-CN"/>
              </w:rPr>
              <w:t>适用于我公司工作环境温度</w:t>
            </w:r>
            <w:r>
              <w:rPr>
                <w:rFonts w:hint="eastAsia"/>
                <w:szCs w:val="22"/>
                <w:lang w:eastAsia="zh-CN"/>
              </w:rPr>
              <w:t>：</w:t>
            </w:r>
            <w:r>
              <w:rPr>
                <w:szCs w:val="22"/>
                <w:lang w:val="en-US" w:eastAsia="zh-CN"/>
              </w:rPr>
              <w:t>1</w:t>
            </w:r>
            <w:r>
              <w:rPr>
                <w:rFonts w:hint="eastAsia"/>
                <w:szCs w:val="22"/>
                <w:lang w:val="en-US" w:eastAsia="zh-CN"/>
              </w:rPr>
              <w:t>0</w:t>
            </w:r>
            <w:r>
              <w:rPr>
                <w:szCs w:val="22"/>
                <w:lang w:val="en-US" w:eastAsia="zh-CN"/>
              </w:rPr>
              <w:t>-30</w:t>
            </w:r>
            <w:r>
              <w:rPr>
                <w:rFonts w:hint="eastAsia"/>
                <w:szCs w:val="22"/>
                <w:lang w:val="en-US" w:eastAsia="zh-CN"/>
              </w:rPr>
              <w:t>℃。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适用于我公司工作环境湿度：</w:t>
            </w:r>
            <w:r>
              <w:rPr>
                <w:lang w:val="en-US" w:eastAsia="zh-CN"/>
              </w:rPr>
              <w:t>20%-80%</w:t>
            </w:r>
            <w:r>
              <w:rPr>
                <w:rFonts w:hint="eastAsia"/>
                <w:lang w:val="en-US" w:eastAsia="zh-CN"/>
              </w:rPr>
              <w:t>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非常</w:t>
            </w: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适用于我公司工作环境洁净级别：无特殊要求。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600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5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可用的能源配置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color w:val="000000"/>
                <w:szCs w:val="22"/>
                <w:lang w:eastAsia="zh-CN"/>
              </w:rPr>
            </w:pPr>
            <w:r>
              <w:rPr>
                <w:rFonts w:hint="eastAsia"/>
                <w:color w:val="000000"/>
                <w:szCs w:val="22"/>
                <w:lang w:eastAsia="zh-CN"/>
              </w:rPr>
              <w:t>适用于我公司交流电电源供电：～220±10%V，50±1Hz 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600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6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外观材质要求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/>
                <w:color w:val="000000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整机外壳应光滑易清洁。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标识：至少应有以下永久贴牢和清楚易认的标识： </w:t>
            </w:r>
          </w:p>
          <w:p>
            <w:pPr>
              <w:spacing w:line="276" w:lineRule="auto"/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（1）制造/供应单位；</w:t>
            </w:r>
          </w:p>
          <w:p>
            <w:pPr>
              <w:spacing w:line="276" w:lineRule="auto"/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（2）产品注册号；</w:t>
            </w:r>
          </w:p>
          <w:p>
            <w:pPr>
              <w:spacing w:line="276" w:lineRule="auto"/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（3）型号；</w:t>
            </w:r>
          </w:p>
          <w:p>
            <w:pPr>
              <w:spacing w:line="276" w:lineRule="auto"/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（4）生产日期或编号；</w:t>
            </w:r>
          </w:p>
          <w:p>
            <w:pPr>
              <w:spacing w:line="276" w:lineRule="auto"/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（5）对设备必要的说明；</w:t>
            </w:r>
          </w:p>
          <w:p>
            <w:pPr>
              <w:spacing w:line="276" w:lineRule="auto"/>
              <w:jc w:val="both"/>
              <w:rPr>
                <w:color w:val="0070C0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（6）安全标识。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bookmarkEnd w:id="7"/>
      <w:bookmarkEnd w:id="8"/>
    </w:tbl>
    <w:p>
      <w:pPr>
        <w:pStyle w:val="44"/>
        <w:spacing w:afterLines="50"/>
        <w:ind w:left="425" w:firstLine="0" w:firstLineChars="0"/>
        <w:rPr>
          <w:rFonts w:ascii="Times New Roman" w:hAnsi="Times New Roman"/>
          <w:szCs w:val="21"/>
        </w:rPr>
      </w:pPr>
    </w:p>
    <w:p>
      <w:pPr>
        <w:pStyle w:val="44"/>
        <w:numPr>
          <w:ilvl w:val="0"/>
          <w:numId w:val="3"/>
        </w:numPr>
        <w:spacing w:afterLines="50"/>
        <w:ind w:left="426" w:hanging="426" w:hangingChars="202"/>
        <w:outlineLvl w:val="0"/>
        <w:rPr>
          <w:rFonts w:ascii="Times New Roman" w:hAnsi="Times New Roman"/>
          <w:b/>
        </w:rPr>
      </w:pPr>
      <w:bookmarkStart w:id="9" w:name="_Toc522107740"/>
      <w:bookmarkStart w:id="10" w:name="_Toc522716121"/>
      <w:r>
        <w:rPr>
          <w:rFonts w:hint="eastAsia" w:ascii="Times New Roman" w:hAnsi="Times New Roman"/>
          <w:b/>
        </w:rPr>
        <w:t>运行要求</w:t>
      </w:r>
      <w:bookmarkEnd w:id="9"/>
      <w:bookmarkEnd w:id="10"/>
    </w:p>
    <w:tbl>
      <w:tblPr>
        <w:tblStyle w:val="19"/>
        <w:tblW w:w="105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7128"/>
        <w:gridCol w:w="2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编号</w:t>
            </w:r>
          </w:p>
        </w:tc>
        <w:tc>
          <w:tcPr>
            <w:tcW w:w="7128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需求</w:t>
            </w:r>
          </w:p>
        </w:tc>
        <w:tc>
          <w:tcPr>
            <w:tcW w:w="2125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关键程度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600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color w:val="000000"/>
                <w:szCs w:val="21"/>
              </w:rPr>
              <w:t>工艺参数范围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360" w:lineRule="auto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为确保检测质量稳定，要求选择与研发部相同的品牌和型号</w:t>
            </w:r>
          </w:p>
          <w:p>
            <w:pPr>
              <w:spacing w:line="360" w:lineRule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品牌：北京赛智创业科技有限公司</w:t>
            </w:r>
          </w:p>
          <w:p>
            <w:pPr>
              <w:spacing w:line="360" w:lineRule="auto"/>
              <w:rPr>
                <w:rFonts w:ascii="宋体" w:hAnsi="宋体"/>
                <w:szCs w:val="22"/>
                <w:lang w:eastAsia="zh-CN"/>
              </w:rPr>
            </w:pPr>
            <w:r>
              <w:rPr>
                <w:rFonts w:hint="eastAsia"/>
                <w:lang w:eastAsia="zh-CN"/>
              </w:rPr>
              <w:t>型号：</w:t>
            </w:r>
            <w:r>
              <w:rPr>
                <w:lang w:eastAsia="zh-CN"/>
              </w:rPr>
              <w:t>Minichemi610Plus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非常</w:t>
            </w: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360" w:lineRule="auto"/>
              <w:rPr>
                <w:rFonts w:ascii="宋体" w:hAnsi="宋体"/>
                <w:szCs w:val="22"/>
                <w:lang w:eastAsia="zh-CN"/>
              </w:rPr>
            </w:pPr>
            <w:r>
              <w:rPr>
                <w:rFonts w:hint="eastAsia" w:ascii="宋体" w:hAnsi="宋体"/>
                <w:szCs w:val="22"/>
                <w:lang w:eastAsia="zh-CN"/>
              </w:rPr>
              <w:t>滤光镜 535nm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</w:tbl>
    <w:p>
      <w:pPr>
        <w:pStyle w:val="44"/>
        <w:numPr>
          <w:ilvl w:val="0"/>
          <w:numId w:val="3"/>
        </w:numPr>
        <w:spacing w:afterLines="50"/>
        <w:ind w:left="426" w:hanging="426" w:hangingChars="202"/>
        <w:outlineLvl w:val="0"/>
        <w:rPr>
          <w:rFonts w:ascii="Times New Roman" w:hAnsi="Times New Roman"/>
          <w:b/>
        </w:rPr>
      </w:pPr>
      <w:bookmarkStart w:id="11" w:name="_Toc522716122"/>
      <w:bookmarkStart w:id="12" w:name="_Toc522107742"/>
      <w:bookmarkStart w:id="13" w:name="_Toc481702480"/>
      <w:bookmarkStart w:id="14" w:name="_Toc483227237"/>
      <w:bookmarkStart w:id="15" w:name="_Toc482370359"/>
      <w:bookmarkStart w:id="16" w:name="_Toc482360291"/>
      <w:bookmarkStart w:id="17" w:name="_Toc482369815"/>
      <w:bookmarkStart w:id="18" w:name="_Toc482370151"/>
      <w:bookmarkStart w:id="19" w:name="_Toc482359946"/>
      <w:bookmarkStart w:id="20" w:name="_Toc482370071"/>
      <w:bookmarkStart w:id="21" w:name="_Toc482717202"/>
      <w:bookmarkStart w:id="22" w:name="_Toc483400317"/>
      <w:bookmarkStart w:id="23" w:name="_Toc482625289"/>
      <w:bookmarkStart w:id="24" w:name="_Toc482370767"/>
      <w:r>
        <w:rPr>
          <w:rFonts w:hint="eastAsia" w:ascii="Times New Roman" w:hAnsi="Times New Roman"/>
          <w:b/>
        </w:rPr>
        <w:t>电气、自动控制要求</w:t>
      </w:r>
      <w:bookmarkEnd w:id="11"/>
    </w:p>
    <w:tbl>
      <w:tblPr>
        <w:tblStyle w:val="19"/>
        <w:tblW w:w="105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7128"/>
        <w:gridCol w:w="2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编号</w:t>
            </w:r>
          </w:p>
        </w:tc>
        <w:tc>
          <w:tcPr>
            <w:tcW w:w="7128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需求</w:t>
            </w:r>
          </w:p>
        </w:tc>
        <w:tc>
          <w:tcPr>
            <w:tcW w:w="2125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关键程度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仪器软件具有密码管理的功能。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仪器软件每级权限应可以设置多个用户，并有用户分级管理功能，每个等级拥有相应的可设置权限。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系统应可以为每个用户创建唯一的用户名和密码。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系统应不允许两个或多个用户拥有相同的用户名。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屏幕显示的结果、存储的电子记录内容与打印报告应是一致的。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用户在密码输入时，电脑显示器上应不显示实际密码（比如密码会以*或其他符合显示）。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系统管理员应可以重置密码，用户可修改自己的密码。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系统应可以设置密码最小长度为8位。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系统必须具有超时强制退出要求重新登录的功能。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系统应可以允许用户和管理员更改自己的密码。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系统应有审计追踪功能，可以记录关键操作、系统和安全的事件，比如登录登出、密码更改、方法参数更改、权限配置、系统设置、记录删除与修改，以及相应操作人员、日期时间、操作描述、操作原因等。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系统应可以新增、修改和禁用账户，这些权限应可被系统管理员禁用。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报告格式应包含以下内容：日期，名称，运行时间，产品名称，产品批号等。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使用者应不能修改测试结果。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供应商提供系统及程序备份盘及备份恢复说明。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供应商提供备份数据读取策略，必要时提供相关程序。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系统程序软件必须为正版。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若有操作系统，则操作系统必须为正版，若操作系统为Windows，必须为专业版以上版本。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</w:tbl>
    <w:p>
      <w:pPr>
        <w:spacing w:afterLines="50"/>
        <w:rPr>
          <w:b/>
          <w:lang w:eastAsia="zh-CN"/>
        </w:rPr>
      </w:pPr>
    </w:p>
    <w:p>
      <w:pPr>
        <w:pStyle w:val="44"/>
        <w:numPr>
          <w:ilvl w:val="0"/>
          <w:numId w:val="3"/>
        </w:numPr>
        <w:spacing w:afterLines="50"/>
        <w:ind w:left="426" w:hanging="426" w:hangingChars="202"/>
        <w:outlineLvl w:val="0"/>
        <w:rPr>
          <w:rFonts w:ascii="Times New Roman" w:hAnsi="Times New Roman"/>
          <w:b/>
        </w:rPr>
      </w:pPr>
      <w:bookmarkStart w:id="25" w:name="_Toc522716123"/>
      <w:r>
        <w:rPr>
          <w:rFonts w:hint="eastAsia" w:ascii="Times New Roman" w:hAnsi="Times New Roman"/>
          <w:b/>
        </w:rPr>
        <w:t>安全要求</w:t>
      </w:r>
      <w:bookmarkEnd w:id="12"/>
      <w:bookmarkEnd w:id="25"/>
    </w:p>
    <w:tbl>
      <w:tblPr>
        <w:tblStyle w:val="19"/>
        <w:tblW w:w="105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7128"/>
        <w:gridCol w:w="2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编号</w:t>
            </w:r>
          </w:p>
        </w:tc>
        <w:tc>
          <w:tcPr>
            <w:tcW w:w="7128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需求</w:t>
            </w:r>
          </w:p>
        </w:tc>
        <w:tc>
          <w:tcPr>
            <w:tcW w:w="2125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关键程度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600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</w:t>
            </w:r>
          </w:p>
        </w:tc>
        <w:tc>
          <w:tcPr>
            <w:tcW w:w="7128" w:type="dxa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电气保护</w:t>
            </w:r>
          </w:p>
        </w:tc>
        <w:tc>
          <w:tcPr>
            <w:tcW w:w="2125" w:type="dxa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电</w:t>
            </w:r>
            <w:r>
              <w:rPr>
                <w:rFonts w:hint="eastAsia"/>
                <w:szCs w:val="21"/>
                <w:lang w:eastAsia="zh-CN"/>
              </w:rPr>
              <w:t>气安全应符合G</w:t>
            </w:r>
            <w:r>
              <w:rPr>
                <w:szCs w:val="21"/>
                <w:lang w:eastAsia="zh-CN"/>
              </w:rPr>
              <w:t>B4793.1</w:t>
            </w:r>
            <w:r>
              <w:rPr>
                <w:rFonts w:hint="eastAsia"/>
                <w:szCs w:val="21"/>
                <w:lang w:eastAsia="zh-CN"/>
              </w:rPr>
              <w:t>和4793.4的要求。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</w:tbl>
    <w:p>
      <w:pPr>
        <w:rPr>
          <w:szCs w:val="21"/>
          <w:lang w:eastAsia="zh-CN"/>
        </w:rPr>
      </w:pPr>
    </w:p>
    <w:p>
      <w:pPr>
        <w:pStyle w:val="44"/>
        <w:numPr>
          <w:ilvl w:val="0"/>
          <w:numId w:val="3"/>
        </w:numPr>
        <w:spacing w:afterLines="50"/>
        <w:ind w:left="426" w:hanging="426" w:hangingChars="202"/>
        <w:outlineLvl w:val="0"/>
        <w:rPr>
          <w:rFonts w:ascii="Times New Roman" w:hAnsi="Times New Roman"/>
          <w:b/>
        </w:rPr>
      </w:pPr>
      <w:bookmarkStart w:id="26" w:name="_Toc522107743"/>
      <w:bookmarkStart w:id="27" w:name="_Toc522716124"/>
      <w:r>
        <w:rPr>
          <w:rFonts w:hint="eastAsia" w:ascii="Times New Roman" w:hAnsi="Times New Roman"/>
          <w:b/>
        </w:rPr>
        <w:t>文件要求</w:t>
      </w:r>
      <w:bookmarkEnd w:id="26"/>
      <w:bookmarkEnd w:id="27"/>
    </w:p>
    <w:tbl>
      <w:tblPr>
        <w:tblStyle w:val="19"/>
        <w:tblW w:w="105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7128"/>
        <w:gridCol w:w="2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编号</w:t>
            </w:r>
          </w:p>
        </w:tc>
        <w:tc>
          <w:tcPr>
            <w:tcW w:w="7128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需求</w:t>
            </w:r>
          </w:p>
        </w:tc>
        <w:tc>
          <w:tcPr>
            <w:tcW w:w="2125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关键程度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rFonts w:ascii="宋体" w:hAnsi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 xml:space="preserve"> 整机运行及维护手册应为中文，纸质文件至少一式三份，电子版至少一份。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投标文件、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原厂或者中国区总代理授权书，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合同、订单及</w:t>
            </w:r>
            <w:r>
              <w:rPr>
                <w:rFonts w:hint="eastAsia" w:ascii="宋体" w:hAnsi="宋体" w:cs="宋体"/>
                <w:szCs w:val="21"/>
                <w:u w:color="333333"/>
                <w:lang w:val="zh-TW" w:eastAsia="zh-CN"/>
              </w:rPr>
              <w:t>设备交付计划表。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生产商发运清单及所有单元配件及其组合的检验报告和证书标识等。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设计选型文件：软硬件功能说明、设计说明、配置清单与说明。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图纸：实物图；各种验证、维修等活动所需的电子版及打印版设备布局图、设备尺寸图、设备局部图（与功能相关的细节图）、安装图、</w:t>
            </w:r>
            <w:r>
              <w:rPr>
                <w:szCs w:val="21"/>
                <w:lang w:eastAsia="zh-CN"/>
              </w:rPr>
              <w:t>P&amp;ID</w:t>
            </w:r>
            <w:r>
              <w:rPr>
                <w:rFonts w:hint="eastAsia"/>
                <w:szCs w:val="21"/>
                <w:lang w:eastAsia="zh-CN"/>
              </w:rPr>
              <w:t>图、控制原理图、其他计算机化系统相关图纸、图纸清单。</w:t>
            </w:r>
          </w:p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提供设备及其零部件使用寿命清单。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组件清单、易损件清单、备件、消耗品清单：包括名称、编号、对应厂家名称、生产地、规格、使用寿命及必要说明。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设备操作手册（</w:t>
            </w:r>
            <w:r>
              <w:rPr>
                <w:szCs w:val="21"/>
                <w:u w:color="333333"/>
                <w:lang w:eastAsia="zh-CN"/>
              </w:rPr>
              <w:t>SOP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）：语言为中文，应说明设备维护内容、校准周期，并能提供校准服务。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rFonts w:hAnsi="宋体"/>
                <w:szCs w:val="21"/>
                <w:u w:color="333333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TW"/>
              </w:rPr>
              <w:t>安全报告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rFonts w:hAnsi="宋体"/>
                <w:szCs w:val="21"/>
                <w:u w:color="333333"/>
                <w:lang w:val="zh-TW"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材质证书（写明材料有效期）。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rFonts w:hAnsi="宋体"/>
                <w:szCs w:val="21"/>
                <w:u w:color="333333"/>
                <w:lang w:val="zh-TW" w:eastAsia="zh-CN"/>
              </w:rPr>
            </w:pPr>
            <w:r>
              <w:rPr>
                <w:rFonts w:hint="eastAsia" w:hAnsi="宋体"/>
                <w:szCs w:val="21"/>
                <w:u w:color="333333"/>
                <w:lang w:eastAsia="zh-CN"/>
              </w:rPr>
              <w:t>现场验收测试（</w:t>
            </w:r>
            <w:r>
              <w:rPr>
                <w:rFonts w:hAnsi="宋体"/>
                <w:szCs w:val="21"/>
                <w:u w:color="333333"/>
                <w:lang w:eastAsia="zh-CN"/>
              </w:rPr>
              <w:t>SAT</w:t>
            </w:r>
            <w:r>
              <w:rPr>
                <w:rFonts w:hint="eastAsia" w:hAnsi="宋体"/>
                <w:szCs w:val="21"/>
                <w:u w:color="333333"/>
                <w:lang w:eastAsia="zh-CN"/>
              </w:rPr>
              <w:t>）报告。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rFonts w:hAnsi="宋体"/>
                <w:szCs w:val="21"/>
                <w:u w:color="333333"/>
                <w:lang w:val="zh-TW"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设备厂家文件：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出厂测试合格证、说明书、</w:t>
            </w:r>
            <w:r>
              <w:rPr>
                <w:rFonts w:hint="eastAsia" w:ascii="宋体" w:hAnsi="宋体"/>
                <w:szCs w:val="21"/>
                <w:lang w:eastAsia="zh-CN"/>
              </w:rPr>
              <w:t>相关检测报告、各种标示。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rFonts w:hAnsi="宋体"/>
                <w:szCs w:val="21"/>
                <w:u w:color="333333"/>
                <w:lang w:val="zh-TW"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调试文件：调试计划（调试说明、调试清单、现场验收测试、保修信息、培训计划等），总测试计划，检查计划，检测清单，各测试结果，调试总结报告等。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val="zh-TW" w:eastAsia="zh-CN"/>
              </w:rPr>
            </w:pPr>
            <w:r>
              <w:rPr>
                <w:szCs w:val="21"/>
                <w:lang w:eastAsia="zh-CN"/>
              </w:rPr>
              <w:t>验证文件</w:t>
            </w:r>
            <w:r>
              <w:rPr>
                <w:rFonts w:hint="eastAsia"/>
                <w:szCs w:val="21"/>
                <w:lang w:eastAsia="zh-CN"/>
              </w:rPr>
              <w:t>：满足</w:t>
            </w:r>
            <w:r>
              <w:rPr>
                <w:szCs w:val="21"/>
                <w:lang w:eastAsia="zh-CN"/>
              </w:rPr>
              <w:t>GMP</w:t>
            </w:r>
            <w:r>
              <w:rPr>
                <w:rFonts w:hint="eastAsia"/>
                <w:szCs w:val="21"/>
                <w:lang w:eastAsia="zh-CN"/>
              </w:rPr>
              <w:t>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val="zh-TW" w:eastAsia="zh-CN"/>
              </w:rPr>
            </w:pPr>
            <w:r>
              <w:rPr>
                <w:szCs w:val="21"/>
                <w:lang w:eastAsia="zh-CN"/>
              </w:rPr>
              <w:t>验证文件：</w:t>
            </w:r>
            <w:r>
              <w:rPr>
                <w:rFonts w:hint="eastAsia"/>
                <w:szCs w:val="21"/>
                <w:lang w:eastAsia="zh-CN"/>
              </w:rPr>
              <w:t>验证计划、满足</w:t>
            </w:r>
            <w:r>
              <w:rPr>
                <w:szCs w:val="21"/>
                <w:lang w:eastAsia="zh-CN"/>
              </w:rPr>
              <w:t>GAMP5</w:t>
            </w:r>
            <w:r>
              <w:rPr>
                <w:rFonts w:hint="eastAsia"/>
                <w:szCs w:val="21"/>
                <w:lang w:eastAsia="zh-CN"/>
              </w:rPr>
              <w:t>相关法规的评估文件、追溯矩阵（</w:t>
            </w:r>
            <w:r>
              <w:rPr>
                <w:szCs w:val="21"/>
                <w:lang w:eastAsia="zh-CN"/>
              </w:rPr>
              <w:t>RTM</w:t>
            </w:r>
            <w:r>
              <w:rPr>
                <w:rFonts w:hint="eastAsia"/>
                <w:szCs w:val="21"/>
                <w:lang w:eastAsia="zh-CN"/>
              </w:rPr>
              <w:t>）、验证总结报告（</w:t>
            </w:r>
            <w:r>
              <w:rPr>
                <w:szCs w:val="21"/>
                <w:lang w:eastAsia="zh-CN"/>
              </w:rPr>
              <w:t>VSR</w:t>
            </w:r>
            <w:r>
              <w:rPr>
                <w:rFonts w:hint="eastAsia"/>
                <w:szCs w:val="21"/>
                <w:lang w:eastAsia="zh-CN"/>
              </w:rPr>
              <w:t>）。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期望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现场验收报告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rPr>
                <w:szCs w:val="21"/>
                <w:u w:color="333333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TW"/>
              </w:rPr>
              <w:t>文件具体要求：</w:t>
            </w:r>
          </w:p>
          <w:p>
            <w:pPr>
              <w:rPr>
                <w:szCs w:val="21"/>
                <w:u w:color="333333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（</w:t>
            </w:r>
            <w:r>
              <w:rPr>
                <w:szCs w:val="21"/>
                <w:u w:color="333333"/>
                <w:lang w:eastAsia="zh-CN"/>
              </w:rPr>
              <w:t>1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）系统相关方案中，应明确本系统的配置、规格，并且通过分析阐述每一个系统环节的必要性；</w:t>
            </w:r>
          </w:p>
          <w:p>
            <w:pPr>
              <w:rPr>
                <w:rFonts w:hAnsi="宋体"/>
                <w:szCs w:val="21"/>
                <w:u w:color="333333"/>
                <w:lang w:val="zh-TW"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（</w:t>
            </w:r>
            <w:r>
              <w:rPr>
                <w:szCs w:val="21"/>
                <w:u w:color="333333"/>
                <w:lang w:eastAsia="zh-CN"/>
              </w:rPr>
              <w:t>2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）标书中明确系统所有组件的品牌、材质、型号，并且注明每一个组件的保修期；</w:t>
            </w:r>
          </w:p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eastAsia="zh-CN"/>
              </w:rPr>
              <w:t>（</w:t>
            </w:r>
            <w:r>
              <w:rPr>
                <w:rFonts w:hAnsi="宋体"/>
                <w:szCs w:val="21"/>
                <w:u w:color="333333"/>
                <w:lang w:eastAsia="zh-CN"/>
              </w:rPr>
              <w:t>3</w:t>
            </w:r>
            <w:r>
              <w:rPr>
                <w:rFonts w:hint="eastAsia" w:hAnsi="宋体"/>
                <w:szCs w:val="21"/>
                <w:u w:color="333333"/>
                <w:lang w:eastAsia="zh-CN"/>
              </w:rPr>
              <w:t>）除另有约定外，上述文件中方案或计划类文件应在合同签订后设备发运前交付审核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</w:tbl>
    <w:p>
      <w:pPr>
        <w:rPr>
          <w:szCs w:val="21"/>
          <w:lang w:eastAsia="zh-CN"/>
        </w:rPr>
      </w:pPr>
    </w:p>
    <w:p>
      <w:pPr>
        <w:pStyle w:val="44"/>
        <w:numPr>
          <w:ilvl w:val="0"/>
          <w:numId w:val="3"/>
        </w:numPr>
        <w:spacing w:afterLines="50"/>
        <w:ind w:left="426" w:hanging="426" w:hangingChars="202"/>
        <w:outlineLvl w:val="0"/>
        <w:rPr>
          <w:rFonts w:ascii="Times New Roman" w:hAnsi="Times New Roman"/>
          <w:b/>
        </w:rPr>
      </w:pPr>
      <w:bookmarkStart w:id="28" w:name="_Toc522716125"/>
      <w:r>
        <w:rPr>
          <w:rFonts w:hint="eastAsia" w:ascii="Times New Roman" w:hAnsi="Times New Roman"/>
          <w:b/>
          <w:szCs w:val="21"/>
        </w:rPr>
        <w:t>服务要求</w:t>
      </w:r>
      <w:bookmarkEnd w:id="28"/>
    </w:p>
    <w:tbl>
      <w:tblPr>
        <w:tblStyle w:val="19"/>
        <w:tblW w:w="105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7128"/>
        <w:gridCol w:w="2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tblHeader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编号</w:t>
            </w:r>
          </w:p>
        </w:tc>
        <w:tc>
          <w:tcPr>
            <w:tcW w:w="7128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需求</w:t>
            </w:r>
          </w:p>
        </w:tc>
        <w:tc>
          <w:tcPr>
            <w:tcW w:w="2125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关键程度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426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szCs w:val="21"/>
                <w:lang w:eastAsia="zh-CN"/>
              </w:rPr>
              <w:t xml:space="preserve"> </w:t>
            </w:r>
            <w:r>
              <w:rPr>
                <w:rFonts w:hint="eastAsia"/>
                <w:szCs w:val="21"/>
                <w:lang w:eastAsia="zh-CN"/>
              </w:rPr>
              <w:t>培训要求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rFonts w:hAnsi="宋体"/>
                <w:szCs w:val="21"/>
                <w:u w:color="333333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eastAsia="zh-CN"/>
              </w:rPr>
              <w:t>设备供应商应免费对设备使用方人员进行全面培训，包括对生产操作人员及设备维护、维修人员，并填写培训记录。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rFonts w:hAnsi="宋体"/>
                <w:szCs w:val="21"/>
                <w:u w:color="333333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eastAsia="zh-CN"/>
              </w:rPr>
              <w:t>生产操作人员培训包括设备结构原理、性能、操作、清洗消毒、故障排除等基本知识。合格标准为用户参加培训人员能够独立正确操作设备，会排除常见故障。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440" w:lineRule="exact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设备维护、维修人员培训应包括设备结构原理、基本操作、维修、日常保养内容、故障排除等基本知识。合格标准为维修人员能对机械、电器部分进行基本维修，能够了解设备日常保养内容，能对造成常见故障的易损部件有明确认识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426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2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运输要求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440" w:lineRule="exact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设备运输在运输途中需做好防护措施，不得有任何损伤。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426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3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验证要求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val="en-US" w:eastAsia="zh-CN"/>
              </w:rPr>
            </w:pPr>
            <w:r>
              <w:rPr>
                <w:szCs w:val="21"/>
                <w:lang w:eastAsia="zh-CN"/>
              </w:rPr>
              <w:t>验证文件</w:t>
            </w:r>
            <w:r>
              <w:rPr>
                <w:rFonts w:hint="eastAsia"/>
                <w:szCs w:val="21"/>
                <w:lang w:eastAsia="zh-CN"/>
              </w:rPr>
              <w:t>：满足</w:t>
            </w:r>
            <w:r>
              <w:rPr>
                <w:szCs w:val="21"/>
                <w:lang w:eastAsia="zh-CN"/>
              </w:rPr>
              <w:t>GMP</w:t>
            </w:r>
            <w:r>
              <w:rPr>
                <w:rFonts w:hint="eastAsia"/>
                <w:szCs w:val="21"/>
                <w:lang w:eastAsia="zh-CN"/>
              </w:rPr>
              <w:t>。</w:t>
            </w:r>
            <w:bookmarkStart w:id="29" w:name="_GoBack"/>
            <w:bookmarkEnd w:id="29"/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验证文件：验证计划、满足GAMP5相关法规的评估文件、追溯矩阵（RTM）、验证总结报告（VSR）。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期望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投标方按</w:t>
            </w:r>
            <w:r>
              <w:rPr>
                <w:rFonts w:ascii="宋体" w:hAnsi="宋体" w:cs="宋体"/>
                <w:szCs w:val="21"/>
                <w:lang w:eastAsia="zh-CN"/>
              </w:rPr>
              <w:t>GMP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和</w:t>
            </w:r>
            <w:r>
              <w:rPr>
                <w:rFonts w:ascii="宋体" w:hAnsi="宋体" w:cs="宋体"/>
                <w:szCs w:val="21"/>
                <w:lang w:eastAsia="zh-CN"/>
              </w:rPr>
              <w:t>GAMP5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规范完成所有验证工作，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各验证工作开始前验证方案需经过本公司相关部门审核，并经质量保证部批准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验证工作应按时保质完成，供应商需提供验证工作计划表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验证项目应包含法规要求的测试项目，以及本公司提出的测试项目。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验证工作完成后，验证记录经本公司相关部门审核，并经质量保证部批准。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验收前，验证工作已成功完成，验证最终报告已经本公司相关部门审核，并经质量保证部批准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426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4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color w:val="000000"/>
                <w:szCs w:val="21"/>
              </w:rPr>
              <w:t>售后服务及备件要求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仪器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保质期从确认验收的阶段就开始计算</w:t>
            </w:r>
            <w:r>
              <w:rPr>
                <w:rFonts w:hint="eastAsia" w:hAnsi="宋体"/>
                <w:szCs w:val="21"/>
                <w:u w:color="333333"/>
                <w:lang w:eastAsia="zh-CN"/>
              </w:rPr>
              <w:t>，整机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保期为一年，一年内免费保修，一年后应提供</w:t>
            </w:r>
            <w:r>
              <w:rPr>
                <w:rFonts w:hint="eastAsia" w:hAnsi="宋体"/>
                <w:b/>
                <w:bCs/>
                <w:szCs w:val="21"/>
                <w:u w:color="333333"/>
                <w:lang w:val="zh-TW" w:eastAsia="zh-CN"/>
              </w:rPr>
              <w:t>终生售后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服务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u w:color="333333"/>
                <w:lang w:val="zh-TW" w:eastAsia="zh-CN"/>
              </w:rPr>
              <w:t>售后服务必须响应及时，要求设备出现须厂家维修的故障后，应在</w:t>
            </w:r>
            <w:r>
              <w:rPr>
                <w:rFonts w:ascii="宋体" w:hAnsi="宋体" w:cs="宋体"/>
                <w:szCs w:val="21"/>
                <w:u w:color="333333"/>
                <w:lang w:eastAsia="zh-CN"/>
              </w:rPr>
              <w:t>4</w:t>
            </w:r>
            <w:r>
              <w:rPr>
                <w:rFonts w:hint="eastAsia" w:ascii="宋体" w:hAnsi="宋体" w:cs="宋体"/>
                <w:szCs w:val="21"/>
                <w:u w:color="333333"/>
                <w:lang w:val="zh-TW" w:eastAsia="zh-CN"/>
              </w:rPr>
              <w:t>小时内明确答复，当电话沟通无法解决时，须</w:t>
            </w:r>
            <w:r>
              <w:rPr>
                <w:rFonts w:hint="eastAsia" w:ascii="宋体" w:hAnsi="宋体" w:cs="宋体"/>
                <w:szCs w:val="21"/>
                <w:u w:color="333333"/>
                <w:lang w:eastAsia="zh-CN"/>
              </w:rPr>
              <w:t>48</w:t>
            </w:r>
            <w:r>
              <w:rPr>
                <w:rFonts w:hint="eastAsia" w:ascii="宋体" w:hAnsi="宋体" w:cs="宋体"/>
                <w:szCs w:val="21"/>
                <w:u w:color="333333"/>
                <w:lang w:val="zh-TW" w:eastAsia="zh-CN"/>
              </w:rPr>
              <w:t>小时内派人至现场解决。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一年免费保修期后，</w:t>
            </w:r>
            <w:r>
              <w:rPr>
                <w:rFonts w:hint="eastAsia" w:hAnsi="宋体"/>
                <w:szCs w:val="21"/>
                <w:u w:color="333333"/>
                <w:lang w:eastAsia="zh-CN"/>
              </w:rPr>
              <w:t>供应商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应终生提供及时的维修、维护，</w:t>
            </w:r>
            <w:r>
              <w:rPr>
                <w:rFonts w:hint="eastAsia" w:hAnsi="宋体"/>
                <w:szCs w:val="21"/>
                <w:u w:color="333333"/>
                <w:lang w:eastAsia="zh-CN"/>
              </w:rPr>
              <w:t>供应商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应定期回访，解决设备运行当中可能出现的疑问，排除潜在故障，使设备保持良好工作状态。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440" w:lineRule="exact"/>
              <w:rPr>
                <w:szCs w:val="21"/>
                <w:u w:color="333333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eastAsia="zh-CN"/>
              </w:rPr>
              <w:t>供应商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应提供合格的备件，用于设备相应部件的维修、更换。</w:t>
            </w:r>
          </w:p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426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5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color w:val="000000"/>
                <w:szCs w:val="21"/>
              </w:rPr>
              <w:t>验收要求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货物到达买方使用现场后，由买卖双方共同验收，卖方工程师免费为买方提供调试。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供应商进厂施工需遵守安全和施工规定。确认验收合格后，买卖双方签订验收报告。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</w:tbl>
    <w:p>
      <w:pPr>
        <w:pStyle w:val="53"/>
        <w:spacing w:before="0" w:line="360" w:lineRule="auto"/>
        <w:jc w:val="left"/>
        <w:rPr>
          <w:rFonts w:hAnsi="宋体"/>
          <w:sz w:val="21"/>
          <w:szCs w:val="21"/>
          <w:u w:color="333333"/>
          <w:lang w:val="zh-TW" w:eastAsia="zh-CN"/>
        </w:rPr>
      </w:pPr>
    </w:p>
    <w:sectPr>
      <w:footerReference r:id="rId3" w:type="default"/>
      <w:pgSz w:w="11907" w:h="16840"/>
      <w:pgMar w:top="1134" w:right="567" w:bottom="1134" w:left="993" w:header="851" w:footer="992" w:gutter="0"/>
      <w:pgNumType w:start="1"/>
      <w:cols w:space="720" w:num="1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PMingLiUfalt">
    <w:altName w:val="MingLiU-ExtB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tabs>
        <w:tab w:val="right" w:pos="9356"/>
        <w:tab w:val="clear" w:pos="8640"/>
      </w:tabs>
      <w:ind w:right="-285"/>
      <w:rPr>
        <w:sz w:val="18"/>
        <w:szCs w:val="18"/>
        <w:lang w:eastAsia="zh-CN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FC583D"/>
    <w:multiLevelType w:val="multilevel"/>
    <w:tmpl w:val="08FC583D"/>
    <w:lvl w:ilvl="0" w:tentative="0">
      <w:start w:val="1"/>
      <w:numFmt w:val="decimal"/>
      <w:pStyle w:val="2"/>
      <w:lvlText w:val="%1."/>
      <w:lvlJc w:val="left"/>
      <w:pPr>
        <w:tabs>
          <w:tab w:val="left" w:pos="425"/>
        </w:tabs>
        <w:ind w:left="425" w:hanging="425"/>
      </w:pPr>
      <w:rPr>
        <w:rFonts w:hint="default" w:cs="Times New Roman"/>
        <w:sz w:val="22"/>
      </w:r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  <w:rPr>
        <w:rFonts w:hint="default" w:cs="Times New Roman"/>
        <w:sz w:val="22"/>
      </w:r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  <w:rPr>
        <w:rFonts w:hint="default" w:cs="Times New Roman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default" w:cs="Times New Roman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default" w:cs="Times New Roman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default" w:cs="Times New Roman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default" w:cs="Times New Roman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default" w:cs="Times New Roman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default" w:cs="Times New Roman"/>
      </w:rPr>
    </w:lvl>
  </w:abstractNum>
  <w:abstractNum w:abstractNumId="1">
    <w:nsid w:val="16D341CC"/>
    <w:multiLevelType w:val="multilevel"/>
    <w:tmpl w:val="16D341CC"/>
    <w:lvl w:ilvl="0" w:tentative="0">
      <w:start w:val="1"/>
      <w:numFmt w:val="decimal"/>
      <w:lvlText w:val="URS %1"/>
      <w:lvlJc w:val="left"/>
      <w:pPr>
        <w:ind w:left="1514" w:hanging="420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ind w:left="14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8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2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7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31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5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9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80" w:hanging="420"/>
      </w:pPr>
      <w:rPr>
        <w:rFonts w:cs="Times New Roman"/>
      </w:rPr>
    </w:lvl>
  </w:abstractNum>
  <w:abstractNum w:abstractNumId="2">
    <w:nsid w:val="23693724"/>
    <w:multiLevelType w:val="multilevel"/>
    <w:tmpl w:val="23693724"/>
    <w:lvl w:ilvl="0" w:tentative="0">
      <w:start w:val="1"/>
      <w:numFmt w:val="decimal"/>
      <w:lvlText w:val="%1"/>
      <w:lvlJc w:val="left"/>
      <w:pPr>
        <w:ind w:left="425" w:hanging="425"/>
      </w:pPr>
      <w:rPr>
        <w:rFonts w:cs="Times New Roman"/>
      </w:rPr>
    </w:lvl>
    <w:lvl w:ilvl="1" w:tentative="0">
      <w:start w:val="1"/>
      <w:numFmt w:val="decimal"/>
      <w:lvlText w:val="%1.%2"/>
      <w:lvlJc w:val="left"/>
      <w:pPr>
        <w:ind w:left="992" w:hanging="567"/>
      </w:pPr>
      <w:rPr>
        <w:rFonts w:cs="Times New Roman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cs="Times New Roman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cs="Times New Roman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cs="Times New Roman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cs="Times New Roman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cs="Times New Roman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cs="Times New Roman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cs="Times New Roman"/>
      </w:rPr>
    </w:lvl>
  </w:abstractNum>
  <w:abstractNum w:abstractNumId="3">
    <w:nsid w:val="686546ED"/>
    <w:multiLevelType w:val="multilevel"/>
    <w:tmpl w:val="686546ED"/>
    <w:lvl w:ilvl="0" w:tentative="0">
      <w:start w:val="1"/>
      <w:numFmt w:val="decimal"/>
      <w:pStyle w:val="49"/>
      <w:lvlText w:val="%1)"/>
      <w:lvlJc w:val="left"/>
      <w:pPr>
        <w:ind w:left="720" w:hanging="360"/>
      </w:pPr>
      <w:rPr>
        <w:rFonts w:cs="Times New Roman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entative="0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entative="0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dit="trackedChanges" w:enforcement="0"/>
  <w:defaultTabStop w:val="720"/>
  <w:drawingGridHorizontalSpacing w:val="120"/>
  <w:drawingGridVerticalSpacing w:val="158"/>
  <w:displayHorizontalDrawingGridEvery w:val="0"/>
  <w:displayVerticalDrawingGridEvery w:val="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seFELayout/>
    <w:compatSetting w:name="compatibilityMode" w:uri="http://schemas.microsoft.com/office/word" w:val="12"/>
  </w:compat>
  <w:docVars>
    <w:docVar w:name="commondata" w:val="eyJoZGlkIjoiNmE3ODRiODUxNWE4NWQ1ZmZiZTdmNzk2NzlkMTdhMDUifQ=="/>
  </w:docVars>
  <w:rsids>
    <w:rsidRoot w:val="00391016"/>
    <w:rsid w:val="00001AE0"/>
    <w:rsid w:val="000021A6"/>
    <w:rsid w:val="00002F06"/>
    <w:rsid w:val="000038A4"/>
    <w:rsid w:val="0000520B"/>
    <w:rsid w:val="000059AD"/>
    <w:rsid w:val="00005CB9"/>
    <w:rsid w:val="00005E76"/>
    <w:rsid w:val="00006273"/>
    <w:rsid w:val="00006FD5"/>
    <w:rsid w:val="0001160E"/>
    <w:rsid w:val="000117C7"/>
    <w:rsid w:val="000169DD"/>
    <w:rsid w:val="00020FEA"/>
    <w:rsid w:val="00022818"/>
    <w:rsid w:val="000233DE"/>
    <w:rsid w:val="00023B07"/>
    <w:rsid w:val="00023CAD"/>
    <w:rsid w:val="0002457E"/>
    <w:rsid w:val="00026057"/>
    <w:rsid w:val="000275E7"/>
    <w:rsid w:val="000303D0"/>
    <w:rsid w:val="00031243"/>
    <w:rsid w:val="00031900"/>
    <w:rsid w:val="000355F3"/>
    <w:rsid w:val="00037987"/>
    <w:rsid w:val="00037F15"/>
    <w:rsid w:val="00037F55"/>
    <w:rsid w:val="000404F1"/>
    <w:rsid w:val="00041104"/>
    <w:rsid w:val="00041A2A"/>
    <w:rsid w:val="00041D89"/>
    <w:rsid w:val="00044DFD"/>
    <w:rsid w:val="000467C2"/>
    <w:rsid w:val="00046B5E"/>
    <w:rsid w:val="00047038"/>
    <w:rsid w:val="00047BA8"/>
    <w:rsid w:val="00047CAF"/>
    <w:rsid w:val="00053A4C"/>
    <w:rsid w:val="00054BB1"/>
    <w:rsid w:val="00055ED6"/>
    <w:rsid w:val="00056478"/>
    <w:rsid w:val="00056AE2"/>
    <w:rsid w:val="00056E9E"/>
    <w:rsid w:val="00057046"/>
    <w:rsid w:val="000576C2"/>
    <w:rsid w:val="00063572"/>
    <w:rsid w:val="00063B90"/>
    <w:rsid w:val="00064A43"/>
    <w:rsid w:val="000662D2"/>
    <w:rsid w:val="00071DD4"/>
    <w:rsid w:val="00072340"/>
    <w:rsid w:val="00072945"/>
    <w:rsid w:val="00073B81"/>
    <w:rsid w:val="0007673E"/>
    <w:rsid w:val="00077AE1"/>
    <w:rsid w:val="000818AC"/>
    <w:rsid w:val="00082C13"/>
    <w:rsid w:val="00083D58"/>
    <w:rsid w:val="000844A8"/>
    <w:rsid w:val="00084F90"/>
    <w:rsid w:val="00086CA0"/>
    <w:rsid w:val="00087002"/>
    <w:rsid w:val="00092C03"/>
    <w:rsid w:val="00096510"/>
    <w:rsid w:val="00097A7D"/>
    <w:rsid w:val="00097CA2"/>
    <w:rsid w:val="000A1D9E"/>
    <w:rsid w:val="000A2664"/>
    <w:rsid w:val="000A2C3C"/>
    <w:rsid w:val="000A41DA"/>
    <w:rsid w:val="000A55CC"/>
    <w:rsid w:val="000A5CEE"/>
    <w:rsid w:val="000A6423"/>
    <w:rsid w:val="000A6661"/>
    <w:rsid w:val="000B02ED"/>
    <w:rsid w:val="000B02FD"/>
    <w:rsid w:val="000B068C"/>
    <w:rsid w:val="000B417D"/>
    <w:rsid w:val="000B45E0"/>
    <w:rsid w:val="000B4EC4"/>
    <w:rsid w:val="000B5888"/>
    <w:rsid w:val="000C0A41"/>
    <w:rsid w:val="000C0DD3"/>
    <w:rsid w:val="000C0FA5"/>
    <w:rsid w:val="000C3C81"/>
    <w:rsid w:val="000C41B6"/>
    <w:rsid w:val="000C4B94"/>
    <w:rsid w:val="000C7137"/>
    <w:rsid w:val="000D112B"/>
    <w:rsid w:val="000D1A79"/>
    <w:rsid w:val="000D3B24"/>
    <w:rsid w:val="000D43C9"/>
    <w:rsid w:val="000D517D"/>
    <w:rsid w:val="000D5BCC"/>
    <w:rsid w:val="000D6D1E"/>
    <w:rsid w:val="000D6FF9"/>
    <w:rsid w:val="000D7C49"/>
    <w:rsid w:val="000E0DDB"/>
    <w:rsid w:val="000E17B5"/>
    <w:rsid w:val="000E41B5"/>
    <w:rsid w:val="000E51FF"/>
    <w:rsid w:val="000E5684"/>
    <w:rsid w:val="000E5B57"/>
    <w:rsid w:val="000F0D08"/>
    <w:rsid w:val="000F2CD3"/>
    <w:rsid w:val="000F32BD"/>
    <w:rsid w:val="000F36B9"/>
    <w:rsid w:val="000F3A00"/>
    <w:rsid w:val="000F4E03"/>
    <w:rsid w:val="000F606A"/>
    <w:rsid w:val="000F706D"/>
    <w:rsid w:val="00100F65"/>
    <w:rsid w:val="0010110F"/>
    <w:rsid w:val="00102DC9"/>
    <w:rsid w:val="001031DF"/>
    <w:rsid w:val="00103F05"/>
    <w:rsid w:val="00104160"/>
    <w:rsid w:val="0010503D"/>
    <w:rsid w:val="00106571"/>
    <w:rsid w:val="00106B5D"/>
    <w:rsid w:val="00110CF0"/>
    <w:rsid w:val="00111E06"/>
    <w:rsid w:val="001120B7"/>
    <w:rsid w:val="0011231F"/>
    <w:rsid w:val="00112670"/>
    <w:rsid w:val="00112DD4"/>
    <w:rsid w:val="00112F30"/>
    <w:rsid w:val="00114353"/>
    <w:rsid w:val="001144F0"/>
    <w:rsid w:val="00115728"/>
    <w:rsid w:val="001163FC"/>
    <w:rsid w:val="00116F39"/>
    <w:rsid w:val="00117A01"/>
    <w:rsid w:val="00121B6E"/>
    <w:rsid w:val="00122051"/>
    <w:rsid w:val="00124244"/>
    <w:rsid w:val="00124E69"/>
    <w:rsid w:val="00125CC1"/>
    <w:rsid w:val="001273B0"/>
    <w:rsid w:val="00127CB8"/>
    <w:rsid w:val="00130EE0"/>
    <w:rsid w:val="001313C3"/>
    <w:rsid w:val="00132F4C"/>
    <w:rsid w:val="00134C68"/>
    <w:rsid w:val="00135FD6"/>
    <w:rsid w:val="001374CF"/>
    <w:rsid w:val="00143952"/>
    <w:rsid w:val="001442AB"/>
    <w:rsid w:val="0014477D"/>
    <w:rsid w:val="00144D00"/>
    <w:rsid w:val="00145034"/>
    <w:rsid w:val="00145DC7"/>
    <w:rsid w:val="00145F74"/>
    <w:rsid w:val="00146568"/>
    <w:rsid w:val="00150BCC"/>
    <w:rsid w:val="001541A9"/>
    <w:rsid w:val="001549D1"/>
    <w:rsid w:val="00154CD3"/>
    <w:rsid w:val="00154F26"/>
    <w:rsid w:val="001560AD"/>
    <w:rsid w:val="0015633E"/>
    <w:rsid w:val="0015752C"/>
    <w:rsid w:val="00160133"/>
    <w:rsid w:val="0016077F"/>
    <w:rsid w:val="00161486"/>
    <w:rsid w:val="0016194A"/>
    <w:rsid w:val="00161F7F"/>
    <w:rsid w:val="00162A78"/>
    <w:rsid w:val="00163A08"/>
    <w:rsid w:val="00164CDC"/>
    <w:rsid w:val="00164E0D"/>
    <w:rsid w:val="00166311"/>
    <w:rsid w:val="00166478"/>
    <w:rsid w:val="00167B0E"/>
    <w:rsid w:val="00171A51"/>
    <w:rsid w:val="001746E7"/>
    <w:rsid w:val="001757AB"/>
    <w:rsid w:val="001769A8"/>
    <w:rsid w:val="001814FA"/>
    <w:rsid w:val="001815A9"/>
    <w:rsid w:val="00182A27"/>
    <w:rsid w:val="00184DDD"/>
    <w:rsid w:val="00184FFD"/>
    <w:rsid w:val="00185449"/>
    <w:rsid w:val="00186314"/>
    <w:rsid w:val="00187B04"/>
    <w:rsid w:val="00190000"/>
    <w:rsid w:val="001929C2"/>
    <w:rsid w:val="00192B8F"/>
    <w:rsid w:val="00193D66"/>
    <w:rsid w:val="00194BB7"/>
    <w:rsid w:val="001A1DE7"/>
    <w:rsid w:val="001A3BB0"/>
    <w:rsid w:val="001A4947"/>
    <w:rsid w:val="001A5230"/>
    <w:rsid w:val="001A64C0"/>
    <w:rsid w:val="001A685F"/>
    <w:rsid w:val="001A7EB6"/>
    <w:rsid w:val="001A7FE4"/>
    <w:rsid w:val="001B0278"/>
    <w:rsid w:val="001B28C8"/>
    <w:rsid w:val="001B4654"/>
    <w:rsid w:val="001C017B"/>
    <w:rsid w:val="001C239E"/>
    <w:rsid w:val="001C2D7E"/>
    <w:rsid w:val="001D1FA0"/>
    <w:rsid w:val="001D3145"/>
    <w:rsid w:val="001D32D4"/>
    <w:rsid w:val="001D3C96"/>
    <w:rsid w:val="001D4383"/>
    <w:rsid w:val="001D4742"/>
    <w:rsid w:val="001D474B"/>
    <w:rsid w:val="001D48B0"/>
    <w:rsid w:val="001D5549"/>
    <w:rsid w:val="001E0376"/>
    <w:rsid w:val="001E13E0"/>
    <w:rsid w:val="001E2B2B"/>
    <w:rsid w:val="001E353E"/>
    <w:rsid w:val="001E3CBE"/>
    <w:rsid w:val="001E5657"/>
    <w:rsid w:val="001E5F94"/>
    <w:rsid w:val="001E744F"/>
    <w:rsid w:val="001F065A"/>
    <w:rsid w:val="001F1FE7"/>
    <w:rsid w:val="001F25DD"/>
    <w:rsid w:val="001F3552"/>
    <w:rsid w:val="001F473D"/>
    <w:rsid w:val="001F4BFD"/>
    <w:rsid w:val="001F7405"/>
    <w:rsid w:val="001F7E95"/>
    <w:rsid w:val="00201487"/>
    <w:rsid w:val="00203D68"/>
    <w:rsid w:val="0020539A"/>
    <w:rsid w:val="00205E00"/>
    <w:rsid w:val="00206107"/>
    <w:rsid w:val="002070B2"/>
    <w:rsid w:val="0020756B"/>
    <w:rsid w:val="00210177"/>
    <w:rsid w:val="00212297"/>
    <w:rsid w:val="002129BC"/>
    <w:rsid w:val="00212BD9"/>
    <w:rsid w:val="00213AA9"/>
    <w:rsid w:val="002168FE"/>
    <w:rsid w:val="00217048"/>
    <w:rsid w:val="002178C5"/>
    <w:rsid w:val="00220757"/>
    <w:rsid w:val="00222993"/>
    <w:rsid w:val="00223661"/>
    <w:rsid w:val="00224129"/>
    <w:rsid w:val="0022426D"/>
    <w:rsid w:val="00225DD2"/>
    <w:rsid w:val="002279A2"/>
    <w:rsid w:val="00227A0D"/>
    <w:rsid w:val="00231071"/>
    <w:rsid w:val="002320D9"/>
    <w:rsid w:val="00234C07"/>
    <w:rsid w:val="002355FF"/>
    <w:rsid w:val="002367A6"/>
    <w:rsid w:val="00236BE9"/>
    <w:rsid w:val="00237E6C"/>
    <w:rsid w:val="00240A09"/>
    <w:rsid w:val="00240B1E"/>
    <w:rsid w:val="00240F12"/>
    <w:rsid w:val="00241437"/>
    <w:rsid w:val="00245088"/>
    <w:rsid w:val="00253242"/>
    <w:rsid w:val="002547BF"/>
    <w:rsid w:val="002548CA"/>
    <w:rsid w:val="0025531B"/>
    <w:rsid w:val="002560F9"/>
    <w:rsid w:val="00257517"/>
    <w:rsid w:val="00257FA9"/>
    <w:rsid w:val="00261CD0"/>
    <w:rsid w:val="00261F30"/>
    <w:rsid w:val="002637FB"/>
    <w:rsid w:val="00263CB5"/>
    <w:rsid w:val="0026571F"/>
    <w:rsid w:val="0027137F"/>
    <w:rsid w:val="002723D2"/>
    <w:rsid w:val="002732E5"/>
    <w:rsid w:val="002745D9"/>
    <w:rsid w:val="00274823"/>
    <w:rsid w:val="0027577D"/>
    <w:rsid w:val="00275F43"/>
    <w:rsid w:val="002810E3"/>
    <w:rsid w:val="00282EAA"/>
    <w:rsid w:val="0028384D"/>
    <w:rsid w:val="0028525D"/>
    <w:rsid w:val="002860DB"/>
    <w:rsid w:val="00286CE5"/>
    <w:rsid w:val="0029023F"/>
    <w:rsid w:val="002913B7"/>
    <w:rsid w:val="00291541"/>
    <w:rsid w:val="00291C5E"/>
    <w:rsid w:val="002924C2"/>
    <w:rsid w:val="00293E83"/>
    <w:rsid w:val="0029741F"/>
    <w:rsid w:val="00297DDC"/>
    <w:rsid w:val="002A18C8"/>
    <w:rsid w:val="002A42F8"/>
    <w:rsid w:val="002A547B"/>
    <w:rsid w:val="002A588E"/>
    <w:rsid w:val="002A7980"/>
    <w:rsid w:val="002B0A7C"/>
    <w:rsid w:val="002B14F3"/>
    <w:rsid w:val="002B480A"/>
    <w:rsid w:val="002B67A2"/>
    <w:rsid w:val="002B6854"/>
    <w:rsid w:val="002C1817"/>
    <w:rsid w:val="002C1DAB"/>
    <w:rsid w:val="002C4FCF"/>
    <w:rsid w:val="002C527C"/>
    <w:rsid w:val="002D0253"/>
    <w:rsid w:val="002D03CD"/>
    <w:rsid w:val="002D2477"/>
    <w:rsid w:val="002D2AAB"/>
    <w:rsid w:val="002D691F"/>
    <w:rsid w:val="002D6A50"/>
    <w:rsid w:val="002D6D1C"/>
    <w:rsid w:val="002E02D7"/>
    <w:rsid w:val="002E1D21"/>
    <w:rsid w:val="002E3B36"/>
    <w:rsid w:val="002E59BF"/>
    <w:rsid w:val="002E63F6"/>
    <w:rsid w:val="002E69A1"/>
    <w:rsid w:val="002F1C5E"/>
    <w:rsid w:val="002F1D63"/>
    <w:rsid w:val="002F340E"/>
    <w:rsid w:val="002F4392"/>
    <w:rsid w:val="002F4641"/>
    <w:rsid w:val="002F4B22"/>
    <w:rsid w:val="00302176"/>
    <w:rsid w:val="00302AF8"/>
    <w:rsid w:val="00304F96"/>
    <w:rsid w:val="00306131"/>
    <w:rsid w:val="00311B2C"/>
    <w:rsid w:val="00311EE4"/>
    <w:rsid w:val="0031318B"/>
    <w:rsid w:val="003137B7"/>
    <w:rsid w:val="003148D1"/>
    <w:rsid w:val="00314CFF"/>
    <w:rsid w:val="00315038"/>
    <w:rsid w:val="00315C3E"/>
    <w:rsid w:val="00316EEF"/>
    <w:rsid w:val="003172B7"/>
    <w:rsid w:val="00320EB4"/>
    <w:rsid w:val="00321298"/>
    <w:rsid w:val="00321D97"/>
    <w:rsid w:val="00322E18"/>
    <w:rsid w:val="00323423"/>
    <w:rsid w:val="003240E5"/>
    <w:rsid w:val="00324B23"/>
    <w:rsid w:val="003257E0"/>
    <w:rsid w:val="00325FFA"/>
    <w:rsid w:val="00330D16"/>
    <w:rsid w:val="00330FFF"/>
    <w:rsid w:val="00333C91"/>
    <w:rsid w:val="0033695C"/>
    <w:rsid w:val="00341B2F"/>
    <w:rsid w:val="00342915"/>
    <w:rsid w:val="00344B04"/>
    <w:rsid w:val="00345847"/>
    <w:rsid w:val="00347576"/>
    <w:rsid w:val="00347772"/>
    <w:rsid w:val="00347A51"/>
    <w:rsid w:val="00347B19"/>
    <w:rsid w:val="003531FA"/>
    <w:rsid w:val="0035416F"/>
    <w:rsid w:val="003549FE"/>
    <w:rsid w:val="00355AAC"/>
    <w:rsid w:val="00355D7D"/>
    <w:rsid w:val="003627BA"/>
    <w:rsid w:val="003647CA"/>
    <w:rsid w:val="00370514"/>
    <w:rsid w:val="0037056A"/>
    <w:rsid w:val="003726DF"/>
    <w:rsid w:val="0037345A"/>
    <w:rsid w:val="00373FFA"/>
    <w:rsid w:val="0037455F"/>
    <w:rsid w:val="00376C31"/>
    <w:rsid w:val="00380EB7"/>
    <w:rsid w:val="003810F5"/>
    <w:rsid w:val="00381C39"/>
    <w:rsid w:val="00381CF6"/>
    <w:rsid w:val="0038326A"/>
    <w:rsid w:val="0038367F"/>
    <w:rsid w:val="00386A5A"/>
    <w:rsid w:val="00387B81"/>
    <w:rsid w:val="00391016"/>
    <w:rsid w:val="00393529"/>
    <w:rsid w:val="00393B6A"/>
    <w:rsid w:val="003946C3"/>
    <w:rsid w:val="00395CE1"/>
    <w:rsid w:val="00395D47"/>
    <w:rsid w:val="00396425"/>
    <w:rsid w:val="003970BE"/>
    <w:rsid w:val="00397C18"/>
    <w:rsid w:val="003A04A8"/>
    <w:rsid w:val="003A1311"/>
    <w:rsid w:val="003A2EC5"/>
    <w:rsid w:val="003A3AAC"/>
    <w:rsid w:val="003A4CAE"/>
    <w:rsid w:val="003A6DFE"/>
    <w:rsid w:val="003A6FCD"/>
    <w:rsid w:val="003B096A"/>
    <w:rsid w:val="003B0B6A"/>
    <w:rsid w:val="003B1FF2"/>
    <w:rsid w:val="003B2104"/>
    <w:rsid w:val="003B354C"/>
    <w:rsid w:val="003B355B"/>
    <w:rsid w:val="003B4A5D"/>
    <w:rsid w:val="003B5047"/>
    <w:rsid w:val="003B6E29"/>
    <w:rsid w:val="003B73AB"/>
    <w:rsid w:val="003C02C6"/>
    <w:rsid w:val="003C03D7"/>
    <w:rsid w:val="003C0712"/>
    <w:rsid w:val="003C558E"/>
    <w:rsid w:val="003C6ECF"/>
    <w:rsid w:val="003C73BC"/>
    <w:rsid w:val="003D2243"/>
    <w:rsid w:val="003D3B57"/>
    <w:rsid w:val="003D3C09"/>
    <w:rsid w:val="003D464A"/>
    <w:rsid w:val="003D4EFF"/>
    <w:rsid w:val="003D5C52"/>
    <w:rsid w:val="003D5F4A"/>
    <w:rsid w:val="003D662C"/>
    <w:rsid w:val="003D77E5"/>
    <w:rsid w:val="003E49F8"/>
    <w:rsid w:val="003E5109"/>
    <w:rsid w:val="003E60EE"/>
    <w:rsid w:val="003E6B48"/>
    <w:rsid w:val="003E748F"/>
    <w:rsid w:val="003F3F47"/>
    <w:rsid w:val="003F6E0C"/>
    <w:rsid w:val="004003A8"/>
    <w:rsid w:val="0040240E"/>
    <w:rsid w:val="00402756"/>
    <w:rsid w:val="00405B3A"/>
    <w:rsid w:val="004074DC"/>
    <w:rsid w:val="004111CC"/>
    <w:rsid w:val="004122A3"/>
    <w:rsid w:val="00416E8B"/>
    <w:rsid w:val="00420273"/>
    <w:rsid w:val="00420AA0"/>
    <w:rsid w:val="0042116C"/>
    <w:rsid w:val="00422D19"/>
    <w:rsid w:val="00422DFE"/>
    <w:rsid w:val="00424D83"/>
    <w:rsid w:val="00424E29"/>
    <w:rsid w:val="00427D22"/>
    <w:rsid w:val="00427E2D"/>
    <w:rsid w:val="00432568"/>
    <w:rsid w:val="004328C0"/>
    <w:rsid w:val="00436C7C"/>
    <w:rsid w:val="00437440"/>
    <w:rsid w:val="00440378"/>
    <w:rsid w:val="00442B53"/>
    <w:rsid w:val="00443256"/>
    <w:rsid w:val="00444D2D"/>
    <w:rsid w:val="004510B1"/>
    <w:rsid w:val="00451C5D"/>
    <w:rsid w:val="00451D74"/>
    <w:rsid w:val="00452E73"/>
    <w:rsid w:val="004565EF"/>
    <w:rsid w:val="00457FF9"/>
    <w:rsid w:val="004601ED"/>
    <w:rsid w:val="00460711"/>
    <w:rsid w:val="0046108B"/>
    <w:rsid w:val="00466F5B"/>
    <w:rsid w:val="00467AE6"/>
    <w:rsid w:val="00467EC9"/>
    <w:rsid w:val="0047089B"/>
    <w:rsid w:val="00477791"/>
    <w:rsid w:val="00480286"/>
    <w:rsid w:val="00480C3B"/>
    <w:rsid w:val="00480FE3"/>
    <w:rsid w:val="00481C94"/>
    <w:rsid w:val="00481D6A"/>
    <w:rsid w:val="00484A8D"/>
    <w:rsid w:val="00486A4E"/>
    <w:rsid w:val="00486B09"/>
    <w:rsid w:val="0049139F"/>
    <w:rsid w:val="00494F07"/>
    <w:rsid w:val="00496116"/>
    <w:rsid w:val="004965A0"/>
    <w:rsid w:val="00497335"/>
    <w:rsid w:val="004A05A7"/>
    <w:rsid w:val="004A2F4D"/>
    <w:rsid w:val="004A3F98"/>
    <w:rsid w:val="004A5532"/>
    <w:rsid w:val="004A5958"/>
    <w:rsid w:val="004A76DF"/>
    <w:rsid w:val="004B0A75"/>
    <w:rsid w:val="004B2190"/>
    <w:rsid w:val="004B69B2"/>
    <w:rsid w:val="004B7507"/>
    <w:rsid w:val="004B7DC4"/>
    <w:rsid w:val="004B7F85"/>
    <w:rsid w:val="004C099B"/>
    <w:rsid w:val="004C42AE"/>
    <w:rsid w:val="004C49B0"/>
    <w:rsid w:val="004C4F53"/>
    <w:rsid w:val="004C4F7F"/>
    <w:rsid w:val="004C592E"/>
    <w:rsid w:val="004D050F"/>
    <w:rsid w:val="004D0E3A"/>
    <w:rsid w:val="004D1A73"/>
    <w:rsid w:val="004D48C2"/>
    <w:rsid w:val="004D4BE6"/>
    <w:rsid w:val="004D67B1"/>
    <w:rsid w:val="004D7128"/>
    <w:rsid w:val="004D751D"/>
    <w:rsid w:val="004E05C2"/>
    <w:rsid w:val="004E0B02"/>
    <w:rsid w:val="004E0C0D"/>
    <w:rsid w:val="004E255F"/>
    <w:rsid w:val="004E4C2D"/>
    <w:rsid w:val="004F0539"/>
    <w:rsid w:val="004F10A4"/>
    <w:rsid w:val="004F342E"/>
    <w:rsid w:val="004F4C63"/>
    <w:rsid w:val="004F5AE6"/>
    <w:rsid w:val="004F5C19"/>
    <w:rsid w:val="004F7B6A"/>
    <w:rsid w:val="0050090F"/>
    <w:rsid w:val="0050208D"/>
    <w:rsid w:val="0050284B"/>
    <w:rsid w:val="00502F99"/>
    <w:rsid w:val="005037D9"/>
    <w:rsid w:val="00504B71"/>
    <w:rsid w:val="005050BC"/>
    <w:rsid w:val="00507991"/>
    <w:rsid w:val="00507C94"/>
    <w:rsid w:val="00507EB2"/>
    <w:rsid w:val="00510111"/>
    <w:rsid w:val="00511AB4"/>
    <w:rsid w:val="00512690"/>
    <w:rsid w:val="00512A4E"/>
    <w:rsid w:val="00514EA4"/>
    <w:rsid w:val="00516BB4"/>
    <w:rsid w:val="00517A5D"/>
    <w:rsid w:val="00517E1E"/>
    <w:rsid w:val="005217E8"/>
    <w:rsid w:val="005220FE"/>
    <w:rsid w:val="005247DE"/>
    <w:rsid w:val="00530B8F"/>
    <w:rsid w:val="00531434"/>
    <w:rsid w:val="00531754"/>
    <w:rsid w:val="00534840"/>
    <w:rsid w:val="00534D08"/>
    <w:rsid w:val="00536973"/>
    <w:rsid w:val="00536BB2"/>
    <w:rsid w:val="00536C6B"/>
    <w:rsid w:val="00544652"/>
    <w:rsid w:val="0054625B"/>
    <w:rsid w:val="00547FED"/>
    <w:rsid w:val="00551539"/>
    <w:rsid w:val="00552EFE"/>
    <w:rsid w:val="00554ABB"/>
    <w:rsid w:val="0055552D"/>
    <w:rsid w:val="00555668"/>
    <w:rsid w:val="0055679E"/>
    <w:rsid w:val="0056090D"/>
    <w:rsid w:val="00561E9C"/>
    <w:rsid w:val="00565C7A"/>
    <w:rsid w:val="00567E14"/>
    <w:rsid w:val="005705A7"/>
    <w:rsid w:val="0057277E"/>
    <w:rsid w:val="00572F0E"/>
    <w:rsid w:val="00574D60"/>
    <w:rsid w:val="00575318"/>
    <w:rsid w:val="005768C2"/>
    <w:rsid w:val="00577142"/>
    <w:rsid w:val="005773E5"/>
    <w:rsid w:val="00581AD5"/>
    <w:rsid w:val="00581C4E"/>
    <w:rsid w:val="00582DB0"/>
    <w:rsid w:val="00584B8E"/>
    <w:rsid w:val="00586EFD"/>
    <w:rsid w:val="00587AC1"/>
    <w:rsid w:val="00587DE8"/>
    <w:rsid w:val="00590694"/>
    <w:rsid w:val="00590AA6"/>
    <w:rsid w:val="00591A70"/>
    <w:rsid w:val="00592624"/>
    <w:rsid w:val="00593AF8"/>
    <w:rsid w:val="00593EC9"/>
    <w:rsid w:val="005964B1"/>
    <w:rsid w:val="005965FD"/>
    <w:rsid w:val="00597FCC"/>
    <w:rsid w:val="005A132A"/>
    <w:rsid w:val="005A337C"/>
    <w:rsid w:val="005A34B0"/>
    <w:rsid w:val="005A3ECF"/>
    <w:rsid w:val="005A6821"/>
    <w:rsid w:val="005B2393"/>
    <w:rsid w:val="005B750A"/>
    <w:rsid w:val="005C296B"/>
    <w:rsid w:val="005C2B89"/>
    <w:rsid w:val="005C2FA7"/>
    <w:rsid w:val="005C386F"/>
    <w:rsid w:val="005C42AC"/>
    <w:rsid w:val="005C4D05"/>
    <w:rsid w:val="005C506B"/>
    <w:rsid w:val="005C71BF"/>
    <w:rsid w:val="005C723D"/>
    <w:rsid w:val="005C7601"/>
    <w:rsid w:val="005D1094"/>
    <w:rsid w:val="005D3394"/>
    <w:rsid w:val="005D3989"/>
    <w:rsid w:val="005D42FF"/>
    <w:rsid w:val="005D64B8"/>
    <w:rsid w:val="005E2725"/>
    <w:rsid w:val="005E65FA"/>
    <w:rsid w:val="005F19CE"/>
    <w:rsid w:val="005F28F4"/>
    <w:rsid w:val="005F43BB"/>
    <w:rsid w:val="005F503E"/>
    <w:rsid w:val="005F63B1"/>
    <w:rsid w:val="005F687F"/>
    <w:rsid w:val="005F6CB3"/>
    <w:rsid w:val="005F7612"/>
    <w:rsid w:val="005F7663"/>
    <w:rsid w:val="005F7D63"/>
    <w:rsid w:val="00607170"/>
    <w:rsid w:val="00607408"/>
    <w:rsid w:val="00610AEE"/>
    <w:rsid w:val="00616BAC"/>
    <w:rsid w:val="00620492"/>
    <w:rsid w:val="00620598"/>
    <w:rsid w:val="00620FEC"/>
    <w:rsid w:val="006214DC"/>
    <w:rsid w:val="006215E2"/>
    <w:rsid w:val="0062168F"/>
    <w:rsid w:val="00621B5F"/>
    <w:rsid w:val="006221A2"/>
    <w:rsid w:val="00627113"/>
    <w:rsid w:val="00627B8B"/>
    <w:rsid w:val="0063106D"/>
    <w:rsid w:val="006312FF"/>
    <w:rsid w:val="00632136"/>
    <w:rsid w:val="00632C67"/>
    <w:rsid w:val="006331B6"/>
    <w:rsid w:val="00633310"/>
    <w:rsid w:val="00633315"/>
    <w:rsid w:val="00633512"/>
    <w:rsid w:val="006366CC"/>
    <w:rsid w:val="00637C16"/>
    <w:rsid w:val="0064048E"/>
    <w:rsid w:val="00641320"/>
    <w:rsid w:val="00641E74"/>
    <w:rsid w:val="006434E3"/>
    <w:rsid w:val="0064366A"/>
    <w:rsid w:val="00646987"/>
    <w:rsid w:val="006506CF"/>
    <w:rsid w:val="00650A76"/>
    <w:rsid w:val="00650CD0"/>
    <w:rsid w:val="00650DA4"/>
    <w:rsid w:val="00651DA5"/>
    <w:rsid w:val="00652D22"/>
    <w:rsid w:val="00656797"/>
    <w:rsid w:val="006571EC"/>
    <w:rsid w:val="0066086B"/>
    <w:rsid w:val="00660A8C"/>
    <w:rsid w:val="006632B2"/>
    <w:rsid w:val="00663F7E"/>
    <w:rsid w:val="00664084"/>
    <w:rsid w:val="0066445E"/>
    <w:rsid w:val="00667045"/>
    <w:rsid w:val="00670A00"/>
    <w:rsid w:val="00670C23"/>
    <w:rsid w:val="00672B86"/>
    <w:rsid w:val="00673031"/>
    <w:rsid w:val="00673EB3"/>
    <w:rsid w:val="00680BE8"/>
    <w:rsid w:val="00686409"/>
    <w:rsid w:val="00686D19"/>
    <w:rsid w:val="006870D2"/>
    <w:rsid w:val="0068777F"/>
    <w:rsid w:val="00693018"/>
    <w:rsid w:val="006A0059"/>
    <w:rsid w:val="006A7425"/>
    <w:rsid w:val="006B058A"/>
    <w:rsid w:val="006B1299"/>
    <w:rsid w:val="006B26D9"/>
    <w:rsid w:val="006B310C"/>
    <w:rsid w:val="006B664C"/>
    <w:rsid w:val="006C1125"/>
    <w:rsid w:val="006C1C83"/>
    <w:rsid w:val="006C3E78"/>
    <w:rsid w:val="006C42F1"/>
    <w:rsid w:val="006C54E6"/>
    <w:rsid w:val="006C5762"/>
    <w:rsid w:val="006C690D"/>
    <w:rsid w:val="006D149F"/>
    <w:rsid w:val="006D3396"/>
    <w:rsid w:val="006D5AFF"/>
    <w:rsid w:val="006E050C"/>
    <w:rsid w:val="006E152B"/>
    <w:rsid w:val="006E36D1"/>
    <w:rsid w:val="006E3736"/>
    <w:rsid w:val="006E4002"/>
    <w:rsid w:val="006E4DB6"/>
    <w:rsid w:val="006E622E"/>
    <w:rsid w:val="006E7938"/>
    <w:rsid w:val="006E79FB"/>
    <w:rsid w:val="006F0222"/>
    <w:rsid w:val="006F229A"/>
    <w:rsid w:val="006F3BB9"/>
    <w:rsid w:val="006F4AA6"/>
    <w:rsid w:val="006F6CA3"/>
    <w:rsid w:val="007007FA"/>
    <w:rsid w:val="007036CA"/>
    <w:rsid w:val="007041CB"/>
    <w:rsid w:val="00705090"/>
    <w:rsid w:val="00705102"/>
    <w:rsid w:val="00705DDB"/>
    <w:rsid w:val="0070675E"/>
    <w:rsid w:val="00706A0E"/>
    <w:rsid w:val="00710573"/>
    <w:rsid w:val="00710808"/>
    <w:rsid w:val="007116CB"/>
    <w:rsid w:val="0071211E"/>
    <w:rsid w:val="00712B1B"/>
    <w:rsid w:val="0071622D"/>
    <w:rsid w:val="007168CC"/>
    <w:rsid w:val="007176BB"/>
    <w:rsid w:val="00717811"/>
    <w:rsid w:val="00720A17"/>
    <w:rsid w:val="00720D4B"/>
    <w:rsid w:val="00723A0F"/>
    <w:rsid w:val="00726CB6"/>
    <w:rsid w:val="00727255"/>
    <w:rsid w:val="0072779B"/>
    <w:rsid w:val="00727923"/>
    <w:rsid w:val="00727CCF"/>
    <w:rsid w:val="0073446D"/>
    <w:rsid w:val="007349FF"/>
    <w:rsid w:val="00734B45"/>
    <w:rsid w:val="00736FFB"/>
    <w:rsid w:val="00737107"/>
    <w:rsid w:val="00740080"/>
    <w:rsid w:val="00741A30"/>
    <w:rsid w:val="007504DC"/>
    <w:rsid w:val="0075142F"/>
    <w:rsid w:val="00751965"/>
    <w:rsid w:val="007524EF"/>
    <w:rsid w:val="00752689"/>
    <w:rsid w:val="00756D1D"/>
    <w:rsid w:val="00760886"/>
    <w:rsid w:val="007615CA"/>
    <w:rsid w:val="00761ADD"/>
    <w:rsid w:val="00762B3A"/>
    <w:rsid w:val="00765D6E"/>
    <w:rsid w:val="00765D7E"/>
    <w:rsid w:val="007674B6"/>
    <w:rsid w:val="00770E90"/>
    <w:rsid w:val="00772C42"/>
    <w:rsid w:val="0077302F"/>
    <w:rsid w:val="00773661"/>
    <w:rsid w:val="00774A61"/>
    <w:rsid w:val="00774E08"/>
    <w:rsid w:val="00774E72"/>
    <w:rsid w:val="0077746F"/>
    <w:rsid w:val="007775FE"/>
    <w:rsid w:val="00780A5F"/>
    <w:rsid w:val="00784913"/>
    <w:rsid w:val="00785B90"/>
    <w:rsid w:val="0078639C"/>
    <w:rsid w:val="007913D3"/>
    <w:rsid w:val="00792A75"/>
    <w:rsid w:val="00795E63"/>
    <w:rsid w:val="0079790C"/>
    <w:rsid w:val="007A102A"/>
    <w:rsid w:val="007A15E6"/>
    <w:rsid w:val="007A194B"/>
    <w:rsid w:val="007A4BCD"/>
    <w:rsid w:val="007A5714"/>
    <w:rsid w:val="007A5EFA"/>
    <w:rsid w:val="007A6821"/>
    <w:rsid w:val="007A75EF"/>
    <w:rsid w:val="007B00D7"/>
    <w:rsid w:val="007B03B6"/>
    <w:rsid w:val="007B1257"/>
    <w:rsid w:val="007B21C0"/>
    <w:rsid w:val="007B33CC"/>
    <w:rsid w:val="007B4133"/>
    <w:rsid w:val="007B49F4"/>
    <w:rsid w:val="007B7AB4"/>
    <w:rsid w:val="007C2405"/>
    <w:rsid w:val="007C2A54"/>
    <w:rsid w:val="007C2B69"/>
    <w:rsid w:val="007C2DC1"/>
    <w:rsid w:val="007C3B05"/>
    <w:rsid w:val="007C3D25"/>
    <w:rsid w:val="007C4998"/>
    <w:rsid w:val="007C668F"/>
    <w:rsid w:val="007C723F"/>
    <w:rsid w:val="007C778D"/>
    <w:rsid w:val="007D07D6"/>
    <w:rsid w:val="007D18A6"/>
    <w:rsid w:val="007D1CA0"/>
    <w:rsid w:val="007D2DF5"/>
    <w:rsid w:val="007D4994"/>
    <w:rsid w:val="007D4BB3"/>
    <w:rsid w:val="007D4F6E"/>
    <w:rsid w:val="007D5ECD"/>
    <w:rsid w:val="007D61CA"/>
    <w:rsid w:val="007D6DCF"/>
    <w:rsid w:val="007D6F0D"/>
    <w:rsid w:val="007D7963"/>
    <w:rsid w:val="007E05B2"/>
    <w:rsid w:val="007E3532"/>
    <w:rsid w:val="007E4A1F"/>
    <w:rsid w:val="007E5FE3"/>
    <w:rsid w:val="007E64DF"/>
    <w:rsid w:val="007E657D"/>
    <w:rsid w:val="007E7119"/>
    <w:rsid w:val="007E71BB"/>
    <w:rsid w:val="007E7B90"/>
    <w:rsid w:val="007E7C13"/>
    <w:rsid w:val="007F2464"/>
    <w:rsid w:val="007F24FA"/>
    <w:rsid w:val="007F2F5D"/>
    <w:rsid w:val="007F4A64"/>
    <w:rsid w:val="007F4ADE"/>
    <w:rsid w:val="007F5A5A"/>
    <w:rsid w:val="007F5EDC"/>
    <w:rsid w:val="00800AFD"/>
    <w:rsid w:val="00800C1B"/>
    <w:rsid w:val="0080239D"/>
    <w:rsid w:val="00803CF3"/>
    <w:rsid w:val="00804EC0"/>
    <w:rsid w:val="00806EAB"/>
    <w:rsid w:val="00810E52"/>
    <w:rsid w:val="00811CA7"/>
    <w:rsid w:val="0081636E"/>
    <w:rsid w:val="0082112E"/>
    <w:rsid w:val="00822F2B"/>
    <w:rsid w:val="00823D9A"/>
    <w:rsid w:val="00827EA4"/>
    <w:rsid w:val="008301D6"/>
    <w:rsid w:val="008305B7"/>
    <w:rsid w:val="00830C78"/>
    <w:rsid w:val="00830FB9"/>
    <w:rsid w:val="00833DDD"/>
    <w:rsid w:val="00834968"/>
    <w:rsid w:val="00834B53"/>
    <w:rsid w:val="00840298"/>
    <w:rsid w:val="00841BE4"/>
    <w:rsid w:val="00845A53"/>
    <w:rsid w:val="00847E8C"/>
    <w:rsid w:val="008505E1"/>
    <w:rsid w:val="00850B19"/>
    <w:rsid w:val="00852488"/>
    <w:rsid w:val="0085405E"/>
    <w:rsid w:val="008571DD"/>
    <w:rsid w:val="0085772E"/>
    <w:rsid w:val="00860344"/>
    <w:rsid w:val="00860E2C"/>
    <w:rsid w:val="00864BC6"/>
    <w:rsid w:val="00865EE6"/>
    <w:rsid w:val="00870D23"/>
    <w:rsid w:val="00872B72"/>
    <w:rsid w:val="00873022"/>
    <w:rsid w:val="00876468"/>
    <w:rsid w:val="008767E1"/>
    <w:rsid w:val="00876CC7"/>
    <w:rsid w:val="008804AD"/>
    <w:rsid w:val="008823E4"/>
    <w:rsid w:val="008837C4"/>
    <w:rsid w:val="008849F3"/>
    <w:rsid w:val="00884E78"/>
    <w:rsid w:val="0088673B"/>
    <w:rsid w:val="00887265"/>
    <w:rsid w:val="00887500"/>
    <w:rsid w:val="008905AD"/>
    <w:rsid w:val="008920F2"/>
    <w:rsid w:val="0089348A"/>
    <w:rsid w:val="00894E9F"/>
    <w:rsid w:val="00895424"/>
    <w:rsid w:val="00896CEC"/>
    <w:rsid w:val="008A06BC"/>
    <w:rsid w:val="008A0AA3"/>
    <w:rsid w:val="008A0EAA"/>
    <w:rsid w:val="008A149F"/>
    <w:rsid w:val="008A19FD"/>
    <w:rsid w:val="008A1A25"/>
    <w:rsid w:val="008A4E05"/>
    <w:rsid w:val="008A56DB"/>
    <w:rsid w:val="008A580B"/>
    <w:rsid w:val="008A6CFC"/>
    <w:rsid w:val="008B2125"/>
    <w:rsid w:val="008B25D4"/>
    <w:rsid w:val="008B38E5"/>
    <w:rsid w:val="008B58C4"/>
    <w:rsid w:val="008B6CD2"/>
    <w:rsid w:val="008B72DD"/>
    <w:rsid w:val="008C050B"/>
    <w:rsid w:val="008C1132"/>
    <w:rsid w:val="008C302A"/>
    <w:rsid w:val="008C3E42"/>
    <w:rsid w:val="008C4B72"/>
    <w:rsid w:val="008C5279"/>
    <w:rsid w:val="008C527D"/>
    <w:rsid w:val="008C5C9F"/>
    <w:rsid w:val="008C6773"/>
    <w:rsid w:val="008C72BB"/>
    <w:rsid w:val="008D140C"/>
    <w:rsid w:val="008D2BAE"/>
    <w:rsid w:val="008D2C9E"/>
    <w:rsid w:val="008D41F5"/>
    <w:rsid w:val="008D521F"/>
    <w:rsid w:val="008D5C06"/>
    <w:rsid w:val="008D6227"/>
    <w:rsid w:val="008D7A8B"/>
    <w:rsid w:val="008E41D3"/>
    <w:rsid w:val="008E43F1"/>
    <w:rsid w:val="008E594F"/>
    <w:rsid w:val="008E7312"/>
    <w:rsid w:val="008F297F"/>
    <w:rsid w:val="008F447E"/>
    <w:rsid w:val="008F549B"/>
    <w:rsid w:val="00904BA9"/>
    <w:rsid w:val="00904E7E"/>
    <w:rsid w:val="0091086B"/>
    <w:rsid w:val="00911129"/>
    <w:rsid w:val="00912EA3"/>
    <w:rsid w:val="00914B6E"/>
    <w:rsid w:val="009156A2"/>
    <w:rsid w:val="0091579A"/>
    <w:rsid w:val="0091615D"/>
    <w:rsid w:val="00921CA0"/>
    <w:rsid w:val="00923F7E"/>
    <w:rsid w:val="00924C96"/>
    <w:rsid w:val="00925030"/>
    <w:rsid w:val="00925B32"/>
    <w:rsid w:val="00930A64"/>
    <w:rsid w:val="00930BE5"/>
    <w:rsid w:val="00931403"/>
    <w:rsid w:val="00934991"/>
    <w:rsid w:val="009351A7"/>
    <w:rsid w:val="009426B9"/>
    <w:rsid w:val="00944E85"/>
    <w:rsid w:val="0094634C"/>
    <w:rsid w:val="009463AB"/>
    <w:rsid w:val="00950239"/>
    <w:rsid w:val="00950332"/>
    <w:rsid w:val="00955899"/>
    <w:rsid w:val="00955A03"/>
    <w:rsid w:val="0096203D"/>
    <w:rsid w:val="0096224A"/>
    <w:rsid w:val="00963289"/>
    <w:rsid w:val="00964A78"/>
    <w:rsid w:val="009656B4"/>
    <w:rsid w:val="00966CA0"/>
    <w:rsid w:val="00966D74"/>
    <w:rsid w:val="00967F9D"/>
    <w:rsid w:val="00970275"/>
    <w:rsid w:val="00970ABF"/>
    <w:rsid w:val="009710E2"/>
    <w:rsid w:val="00971165"/>
    <w:rsid w:val="00972E9C"/>
    <w:rsid w:val="0097391E"/>
    <w:rsid w:val="00973DF3"/>
    <w:rsid w:val="009742DA"/>
    <w:rsid w:val="009743BE"/>
    <w:rsid w:val="009753A0"/>
    <w:rsid w:val="00977437"/>
    <w:rsid w:val="00977C89"/>
    <w:rsid w:val="00980AB3"/>
    <w:rsid w:val="009848CB"/>
    <w:rsid w:val="00984D10"/>
    <w:rsid w:val="0098600B"/>
    <w:rsid w:val="009861C1"/>
    <w:rsid w:val="00986D5E"/>
    <w:rsid w:val="00987177"/>
    <w:rsid w:val="0098768B"/>
    <w:rsid w:val="00987F11"/>
    <w:rsid w:val="0099128D"/>
    <w:rsid w:val="009917F1"/>
    <w:rsid w:val="00991E37"/>
    <w:rsid w:val="00991E74"/>
    <w:rsid w:val="009926A6"/>
    <w:rsid w:val="0099415E"/>
    <w:rsid w:val="009948BF"/>
    <w:rsid w:val="00995320"/>
    <w:rsid w:val="00997844"/>
    <w:rsid w:val="009978C2"/>
    <w:rsid w:val="009A345F"/>
    <w:rsid w:val="009A4AE5"/>
    <w:rsid w:val="009A5218"/>
    <w:rsid w:val="009A6806"/>
    <w:rsid w:val="009B1717"/>
    <w:rsid w:val="009B22D2"/>
    <w:rsid w:val="009B2839"/>
    <w:rsid w:val="009B4C17"/>
    <w:rsid w:val="009B5BF6"/>
    <w:rsid w:val="009C1C79"/>
    <w:rsid w:val="009C339C"/>
    <w:rsid w:val="009C33B8"/>
    <w:rsid w:val="009D07A0"/>
    <w:rsid w:val="009D107D"/>
    <w:rsid w:val="009D1871"/>
    <w:rsid w:val="009D2985"/>
    <w:rsid w:val="009D3033"/>
    <w:rsid w:val="009D5770"/>
    <w:rsid w:val="009D6AF5"/>
    <w:rsid w:val="009D6CF1"/>
    <w:rsid w:val="009D74BA"/>
    <w:rsid w:val="009E0874"/>
    <w:rsid w:val="009E1A16"/>
    <w:rsid w:val="009E2045"/>
    <w:rsid w:val="009E4A84"/>
    <w:rsid w:val="009E6973"/>
    <w:rsid w:val="009F0466"/>
    <w:rsid w:val="009F4200"/>
    <w:rsid w:val="009F4933"/>
    <w:rsid w:val="009F5FD0"/>
    <w:rsid w:val="009F6DD5"/>
    <w:rsid w:val="009F7B12"/>
    <w:rsid w:val="00A020A2"/>
    <w:rsid w:val="00A0297B"/>
    <w:rsid w:val="00A0358E"/>
    <w:rsid w:val="00A049F9"/>
    <w:rsid w:val="00A0529B"/>
    <w:rsid w:val="00A0766F"/>
    <w:rsid w:val="00A10187"/>
    <w:rsid w:val="00A10713"/>
    <w:rsid w:val="00A1252C"/>
    <w:rsid w:val="00A13B8B"/>
    <w:rsid w:val="00A151B7"/>
    <w:rsid w:val="00A1587F"/>
    <w:rsid w:val="00A17FDD"/>
    <w:rsid w:val="00A21225"/>
    <w:rsid w:val="00A2139C"/>
    <w:rsid w:val="00A218F9"/>
    <w:rsid w:val="00A21E37"/>
    <w:rsid w:val="00A23314"/>
    <w:rsid w:val="00A235BB"/>
    <w:rsid w:val="00A23F10"/>
    <w:rsid w:val="00A23F72"/>
    <w:rsid w:val="00A26AB8"/>
    <w:rsid w:val="00A322BF"/>
    <w:rsid w:val="00A3373F"/>
    <w:rsid w:val="00A33BF8"/>
    <w:rsid w:val="00A33F51"/>
    <w:rsid w:val="00A349DF"/>
    <w:rsid w:val="00A40311"/>
    <w:rsid w:val="00A41032"/>
    <w:rsid w:val="00A4106C"/>
    <w:rsid w:val="00A428E7"/>
    <w:rsid w:val="00A43E49"/>
    <w:rsid w:val="00A44018"/>
    <w:rsid w:val="00A45DE9"/>
    <w:rsid w:val="00A47471"/>
    <w:rsid w:val="00A47E22"/>
    <w:rsid w:val="00A47ED0"/>
    <w:rsid w:val="00A509EA"/>
    <w:rsid w:val="00A51476"/>
    <w:rsid w:val="00A526D2"/>
    <w:rsid w:val="00A54412"/>
    <w:rsid w:val="00A5498B"/>
    <w:rsid w:val="00A550C8"/>
    <w:rsid w:val="00A5564C"/>
    <w:rsid w:val="00A559EC"/>
    <w:rsid w:val="00A569F8"/>
    <w:rsid w:val="00A56E60"/>
    <w:rsid w:val="00A571B3"/>
    <w:rsid w:val="00A626B5"/>
    <w:rsid w:val="00A62DF0"/>
    <w:rsid w:val="00A63620"/>
    <w:rsid w:val="00A63ECE"/>
    <w:rsid w:val="00A66342"/>
    <w:rsid w:val="00A665C8"/>
    <w:rsid w:val="00A6749E"/>
    <w:rsid w:val="00A70D88"/>
    <w:rsid w:val="00A71142"/>
    <w:rsid w:val="00A72895"/>
    <w:rsid w:val="00A74589"/>
    <w:rsid w:val="00A74E1B"/>
    <w:rsid w:val="00A7513A"/>
    <w:rsid w:val="00A75AC9"/>
    <w:rsid w:val="00A75B25"/>
    <w:rsid w:val="00A76AEE"/>
    <w:rsid w:val="00A801B4"/>
    <w:rsid w:val="00A803C0"/>
    <w:rsid w:val="00A80C9D"/>
    <w:rsid w:val="00A82075"/>
    <w:rsid w:val="00A82192"/>
    <w:rsid w:val="00A857AB"/>
    <w:rsid w:val="00A90009"/>
    <w:rsid w:val="00A927A4"/>
    <w:rsid w:val="00A94CC0"/>
    <w:rsid w:val="00A9534A"/>
    <w:rsid w:val="00A957FA"/>
    <w:rsid w:val="00A968DC"/>
    <w:rsid w:val="00A977BA"/>
    <w:rsid w:val="00AA1A89"/>
    <w:rsid w:val="00AA346E"/>
    <w:rsid w:val="00AA3770"/>
    <w:rsid w:val="00AA3CFA"/>
    <w:rsid w:val="00AA41C3"/>
    <w:rsid w:val="00AA423C"/>
    <w:rsid w:val="00AA53E2"/>
    <w:rsid w:val="00AA73FD"/>
    <w:rsid w:val="00AB2F87"/>
    <w:rsid w:val="00AB32C3"/>
    <w:rsid w:val="00AB5E2B"/>
    <w:rsid w:val="00AB6069"/>
    <w:rsid w:val="00AB6467"/>
    <w:rsid w:val="00AC0575"/>
    <w:rsid w:val="00AC0758"/>
    <w:rsid w:val="00AC0934"/>
    <w:rsid w:val="00AC17EE"/>
    <w:rsid w:val="00AC2BFD"/>
    <w:rsid w:val="00AC4DDD"/>
    <w:rsid w:val="00AC5A43"/>
    <w:rsid w:val="00AC5D2C"/>
    <w:rsid w:val="00AC6B6D"/>
    <w:rsid w:val="00AD3559"/>
    <w:rsid w:val="00AD3B05"/>
    <w:rsid w:val="00AD3C8E"/>
    <w:rsid w:val="00AD470D"/>
    <w:rsid w:val="00AD5193"/>
    <w:rsid w:val="00AD7390"/>
    <w:rsid w:val="00AD7E6F"/>
    <w:rsid w:val="00AE1BD8"/>
    <w:rsid w:val="00AE2817"/>
    <w:rsid w:val="00AE304B"/>
    <w:rsid w:val="00AE3D3E"/>
    <w:rsid w:val="00AE49B2"/>
    <w:rsid w:val="00AE6BEB"/>
    <w:rsid w:val="00AE7789"/>
    <w:rsid w:val="00AF32EA"/>
    <w:rsid w:val="00AF3DED"/>
    <w:rsid w:val="00AF48B1"/>
    <w:rsid w:val="00AF4FB8"/>
    <w:rsid w:val="00AF6713"/>
    <w:rsid w:val="00AF6BD6"/>
    <w:rsid w:val="00AF753A"/>
    <w:rsid w:val="00B021ED"/>
    <w:rsid w:val="00B0250D"/>
    <w:rsid w:val="00B032B1"/>
    <w:rsid w:val="00B03F46"/>
    <w:rsid w:val="00B059B8"/>
    <w:rsid w:val="00B07418"/>
    <w:rsid w:val="00B11547"/>
    <w:rsid w:val="00B11EF0"/>
    <w:rsid w:val="00B1226C"/>
    <w:rsid w:val="00B14F05"/>
    <w:rsid w:val="00B15D01"/>
    <w:rsid w:val="00B20EBF"/>
    <w:rsid w:val="00B24F44"/>
    <w:rsid w:val="00B25428"/>
    <w:rsid w:val="00B255BB"/>
    <w:rsid w:val="00B25E24"/>
    <w:rsid w:val="00B2609A"/>
    <w:rsid w:val="00B301B1"/>
    <w:rsid w:val="00B353E7"/>
    <w:rsid w:val="00B35759"/>
    <w:rsid w:val="00B35BCA"/>
    <w:rsid w:val="00B3619A"/>
    <w:rsid w:val="00B365B7"/>
    <w:rsid w:val="00B40BCA"/>
    <w:rsid w:val="00B4308D"/>
    <w:rsid w:val="00B440DA"/>
    <w:rsid w:val="00B4415A"/>
    <w:rsid w:val="00B503CD"/>
    <w:rsid w:val="00B548AB"/>
    <w:rsid w:val="00B54BBE"/>
    <w:rsid w:val="00B553F3"/>
    <w:rsid w:val="00B553F8"/>
    <w:rsid w:val="00B560B6"/>
    <w:rsid w:val="00B5630E"/>
    <w:rsid w:val="00B62FB6"/>
    <w:rsid w:val="00B635BF"/>
    <w:rsid w:val="00B7050A"/>
    <w:rsid w:val="00B70904"/>
    <w:rsid w:val="00B70A42"/>
    <w:rsid w:val="00B74791"/>
    <w:rsid w:val="00B76AF9"/>
    <w:rsid w:val="00B8115B"/>
    <w:rsid w:val="00B81551"/>
    <w:rsid w:val="00B81AE2"/>
    <w:rsid w:val="00B82D30"/>
    <w:rsid w:val="00B87F62"/>
    <w:rsid w:val="00B914A4"/>
    <w:rsid w:val="00B92497"/>
    <w:rsid w:val="00B92D41"/>
    <w:rsid w:val="00B93679"/>
    <w:rsid w:val="00B9422D"/>
    <w:rsid w:val="00B95A1D"/>
    <w:rsid w:val="00B9634B"/>
    <w:rsid w:val="00B96E4D"/>
    <w:rsid w:val="00BA5072"/>
    <w:rsid w:val="00BA5B65"/>
    <w:rsid w:val="00BA7BFE"/>
    <w:rsid w:val="00BB0ECA"/>
    <w:rsid w:val="00BB246B"/>
    <w:rsid w:val="00BB4F49"/>
    <w:rsid w:val="00BB60F7"/>
    <w:rsid w:val="00BB6B2D"/>
    <w:rsid w:val="00BB7375"/>
    <w:rsid w:val="00BC0500"/>
    <w:rsid w:val="00BC44F5"/>
    <w:rsid w:val="00BC500B"/>
    <w:rsid w:val="00BC547C"/>
    <w:rsid w:val="00BC5DE1"/>
    <w:rsid w:val="00BC6B29"/>
    <w:rsid w:val="00BC798C"/>
    <w:rsid w:val="00BC7D11"/>
    <w:rsid w:val="00BD00FD"/>
    <w:rsid w:val="00BD15A2"/>
    <w:rsid w:val="00BD2153"/>
    <w:rsid w:val="00BD337A"/>
    <w:rsid w:val="00BD558D"/>
    <w:rsid w:val="00BD5CC3"/>
    <w:rsid w:val="00BE18A6"/>
    <w:rsid w:val="00BE1F47"/>
    <w:rsid w:val="00BE24AD"/>
    <w:rsid w:val="00BE2787"/>
    <w:rsid w:val="00BE51BB"/>
    <w:rsid w:val="00BE7ECD"/>
    <w:rsid w:val="00BF1682"/>
    <w:rsid w:val="00BF241A"/>
    <w:rsid w:val="00BF3AFB"/>
    <w:rsid w:val="00BF3DD2"/>
    <w:rsid w:val="00BF4344"/>
    <w:rsid w:val="00BF6970"/>
    <w:rsid w:val="00BF69C6"/>
    <w:rsid w:val="00C005D8"/>
    <w:rsid w:val="00C02F31"/>
    <w:rsid w:val="00C04DA5"/>
    <w:rsid w:val="00C050FC"/>
    <w:rsid w:val="00C05D40"/>
    <w:rsid w:val="00C11905"/>
    <w:rsid w:val="00C14462"/>
    <w:rsid w:val="00C16542"/>
    <w:rsid w:val="00C22382"/>
    <w:rsid w:val="00C2355B"/>
    <w:rsid w:val="00C266C1"/>
    <w:rsid w:val="00C274A6"/>
    <w:rsid w:val="00C34201"/>
    <w:rsid w:val="00C35A38"/>
    <w:rsid w:val="00C35EC9"/>
    <w:rsid w:val="00C36807"/>
    <w:rsid w:val="00C37392"/>
    <w:rsid w:val="00C41545"/>
    <w:rsid w:val="00C4209D"/>
    <w:rsid w:val="00C432B3"/>
    <w:rsid w:val="00C4771E"/>
    <w:rsid w:val="00C47D15"/>
    <w:rsid w:val="00C50279"/>
    <w:rsid w:val="00C505EC"/>
    <w:rsid w:val="00C5165A"/>
    <w:rsid w:val="00C52841"/>
    <w:rsid w:val="00C54FC6"/>
    <w:rsid w:val="00C56F88"/>
    <w:rsid w:val="00C57B7E"/>
    <w:rsid w:val="00C60217"/>
    <w:rsid w:val="00C66265"/>
    <w:rsid w:val="00C66D15"/>
    <w:rsid w:val="00C671D0"/>
    <w:rsid w:val="00C70449"/>
    <w:rsid w:val="00C7071B"/>
    <w:rsid w:val="00C73904"/>
    <w:rsid w:val="00C73BAE"/>
    <w:rsid w:val="00C73F7B"/>
    <w:rsid w:val="00C74055"/>
    <w:rsid w:val="00C7421D"/>
    <w:rsid w:val="00C76481"/>
    <w:rsid w:val="00C76812"/>
    <w:rsid w:val="00C83D88"/>
    <w:rsid w:val="00C84961"/>
    <w:rsid w:val="00C84B06"/>
    <w:rsid w:val="00C87100"/>
    <w:rsid w:val="00C87CAC"/>
    <w:rsid w:val="00C913A1"/>
    <w:rsid w:val="00C950D6"/>
    <w:rsid w:val="00C97646"/>
    <w:rsid w:val="00C97672"/>
    <w:rsid w:val="00CA55BD"/>
    <w:rsid w:val="00CA7A63"/>
    <w:rsid w:val="00CB0837"/>
    <w:rsid w:val="00CB2BFA"/>
    <w:rsid w:val="00CB3888"/>
    <w:rsid w:val="00CB400E"/>
    <w:rsid w:val="00CB48F6"/>
    <w:rsid w:val="00CB5F04"/>
    <w:rsid w:val="00CB67F1"/>
    <w:rsid w:val="00CB7DC8"/>
    <w:rsid w:val="00CC0EC0"/>
    <w:rsid w:val="00CC34DB"/>
    <w:rsid w:val="00CC51AC"/>
    <w:rsid w:val="00CC609D"/>
    <w:rsid w:val="00CC7044"/>
    <w:rsid w:val="00CD11FF"/>
    <w:rsid w:val="00CD15E7"/>
    <w:rsid w:val="00CD2D81"/>
    <w:rsid w:val="00CD6E71"/>
    <w:rsid w:val="00CE07A9"/>
    <w:rsid w:val="00CE1012"/>
    <w:rsid w:val="00CE419E"/>
    <w:rsid w:val="00CE5011"/>
    <w:rsid w:val="00CE574A"/>
    <w:rsid w:val="00CE5DC5"/>
    <w:rsid w:val="00CE629E"/>
    <w:rsid w:val="00CE66CE"/>
    <w:rsid w:val="00CE6FA5"/>
    <w:rsid w:val="00CE77AA"/>
    <w:rsid w:val="00CE7B59"/>
    <w:rsid w:val="00CF352C"/>
    <w:rsid w:val="00CF4570"/>
    <w:rsid w:val="00CF58EE"/>
    <w:rsid w:val="00D00811"/>
    <w:rsid w:val="00D02A43"/>
    <w:rsid w:val="00D04518"/>
    <w:rsid w:val="00D05489"/>
    <w:rsid w:val="00D05CA1"/>
    <w:rsid w:val="00D061CB"/>
    <w:rsid w:val="00D0796C"/>
    <w:rsid w:val="00D07B7D"/>
    <w:rsid w:val="00D11A35"/>
    <w:rsid w:val="00D13130"/>
    <w:rsid w:val="00D146D4"/>
    <w:rsid w:val="00D14B3C"/>
    <w:rsid w:val="00D14BA5"/>
    <w:rsid w:val="00D16580"/>
    <w:rsid w:val="00D20E20"/>
    <w:rsid w:val="00D21C3A"/>
    <w:rsid w:val="00D228DA"/>
    <w:rsid w:val="00D22E01"/>
    <w:rsid w:val="00D238A5"/>
    <w:rsid w:val="00D24621"/>
    <w:rsid w:val="00D2600F"/>
    <w:rsid w:val="00D30EEA"/>
    <w:rsid w:val="00D31534"/>
    <w:rsid w:val="00D32C1F"/>
    <w:rsid w:val="00D33FC2"/>
    <w:rsid w:val="00D37394"/>
    <w:rsid w:val="00D45A3A"/>
    <w:rsid w:val="00D46699"/>
    <w:rsid w:val="00D47345"/>
    <w:rsid w:val="00D5073F"/>
    <w:rsid w:val="00D51573"/>
    <w:rsid w:val="00D515C2"/>
    <w:rsid w:val="00D5399A"/>
    <w:rsid w:val="00D5444F"/>
    <w:rsid w:val="00D54E0D"/>
    <w:rsid w:val="00D54F7D"/>
    <w:rsid w:val="00D57528"/>
    <w:rsid w:val="00D602CA"/>
    <w:rsid w:val="00D60DD8"/>
    <w:rsid w:val="00D64C6C"/>
    <w:rsid w:val="00D66D42"/>
    <w:rsid w:val="00D71734"/>
    <w:rsid w:val="00D7244A"/>
    <w:rsid w:val="00D72BCC"/>
    <w:rsid w:val="00D746C0"/>
    <w:rsid w:val="00D74723"/>
    <w:rsid w:val="00D76091"/>
    <w:rsid w:val="00D76B9C"/>
    <w:rsid w:val="00D76D82"/>
    <w:rsid w:val="00D77D65"/>
    <w:rsid w:val="00D80448"/>
    <w:rsid w:val="00D80C4F"/>
    <w:rsid w:val="00D8149F"/>
    <w:rsid w:val="00D814FB"/>
    <w:rsid w:val="00D83D95"/>
    <w:rsid w:val="00D861C5"/>
    <w:rsid w:val="00D90293"/>
    <w:rsid w:val="00D90496"/>
    <w:rsid w:val="00D917BC"/>
    <w:rsid w:val="00D942DE"/>
    <w:rsid w:val="00D9491E"/>
    <w:rsid w:val="00DA070D"/>
    <w:rsid w:val="00DA3B2F"/>
    <w:rsid w:val="00DA4731"/>
    <w:rsid w:val="00DA5040"/>
    <w:rsid w:val="00DA7D5F"/>
    <w:rsid w:val="00DB053E"/>
    <w:rsid w:val="00DB11B2"/>
    <w:rsid w:val="00DB161E"/>
    <w:rsid w:val="00DB31B5"/>
    <w:rsid w:val="00DB4DE3"/>
    <w:rsid w:val="00DB5BBA"/>
    <w:rsid w:val="00DC03DB"/>
    <w:rsid w:val="00DC1206"/>
    <w:rsid w:val="00DC2BE8"/>
    <w:rsid w:val="00DC2BEC"/>
    <w:rsid w:val="00DC3256"/>
    <w:rsid w:val="00DC35A6"/>
    <w:rsid w:val="00DD090A"/>
    <w:rsid w:val="00DD18CC"/>
    <w:rsid w:val="00DD2421"/>
    <w:rsid w:val="00DD3222"/>
    <w:rsid w:val="00DD3D81"/>
    <w:rsid w:val="00DD571C"/>
    <w:rsid w:val="00DD64E1"/>
    <w:rsid w:val="00DE039A"/>
    <w:rsid w:val="00DE0403"/>
    <w:rsid w:val="00DE4811"/>
    <w:rsid w:val="00DE5458"/>
    <w:rsid w:val="00DE5EE6"/>
    <w:rsid w:val="00DE6D50"/>
    <w:rsid w:val="00DE77EA"/>
    <w:rsid w:val="00DF0ABA"/>
    <w:rsid w:val="00DF1EEE"/>
    <w:rsid w:val="00DF6C58"/>
    <w:rsid w:val="00E001C1"/>
    <w:rsid w:val="00E01576"/>
    <w:rsid w:val="00E039F3"/>
    <w:rsid w:val="00E03C30"/>
    <w:rsid w:val="00E05051"/>
    <w:rsid w:val="00E078BD"/>
    <w:rsid w:val="00E078F8"/>
    <w:rsid w:val="00E1142B"/>
    <w:rsid w:val="00E11F10"/>
    <w:rsid w:val="00E157E4"/>
    <w:rsid w:val="00E15950"/>
    <w:rsid w:val="00E16522"/>
    <w:rsid w:val="00E1750C"/>
    <w:rsid w:val="00E178A6"/>
    <w:rsid w:val="00E20211"/>
    <w:rsid w:val="00E20545"/>
    <w:rsid w:val="00E223C6"/>
    <w:rsid w:val="00E2443D"/>
    <w:rsid w:val="00E24789"/>
    <w:rsid w:val="00E26615"/>
    <w:rsid w:val="00E26F37"/>
    <w:rsid w:val="00E33928"/>
    <w:rsid w:val="00E33C90"/>
    <w:rsid w:val="00E34D15"/>
    <w:rsid w:val="00E35E86"/>
    <w:rsid w:val="00E36B45"/>
    <w:rsid w:val="00E37BF1"/>
    <w:rsid w:val="00E428B3"/>
    <w:rsid w:val="00E44D19"/>
    <w:rsid w:val="00E51372"/>
    <w:rsid w:val="00E51CAF"/>
    <w:rsid w:val="00E51E95"/>
    <w:rsid w:val="00E51F9D"/>
    <w:rsid w:val="00E5202F"/>
    <w:rsid w:val="00E5211A"/>
    <w:rsid w:val="00E53A9F"/>
    <w:rsid w:val="00E549AF"/>
    <w:rsid w:val="00E56E13"/>
    <w:rsid w:val="00E60540"/>
    <w:rsid w:val="00E61C74"/>
    <w:rsid w:val="00E63D8F"/>
    <w:rsid w:val="00E706B6"/>
    <w:rsid w:val="00E76FF1"/>
    <w:rsid w:val="00E774FE"/>
    <w:rsid w:val="00E809A0"/>
    <w:rsid w:val="00E80AF7"/>
    <w:rsid w:val="00E84407"/>
    <w:rsid w:val="00E85E54"/>
    <w:rsid w:val="00E86146"/>
    <w:rsid w:val="00E86A76"/>
    <w:rsid w:val="00E87A90"/>
    <w:rsid w:val="00E904D1"/>
    <w:rsid w:val="00E92425"/>
    <w:rsid w:val="00E92AD3"/>
    <w:rsid w:val="00E954AE"/>
    <w:rsid w:val="00E959EA"/>
    <w:rsid w:val="00E96237"/>
    <w:rsid w:val="00E965D7"/>
    <w:rsid w:val="00E96D30"/>
    <w:rsid w:val="00EA1327"/>
    <w:rsid w:val="00EA623C"/>
    <w:rsid w:val="00EA6395"/>
    <w:rsid w:val="00EB044B"/>
    <w:rsid w:val="00EB067C"/>
    <w:rsid w:val="00EB3C66"/>
    <w:rsid w:val="00EB4B03"/>
    <w:rsid w:val="00EB5DEE"/>
    <w:rsid w:val="00EB64CB"/>
    <w:rsid w:val="00EB6D46"/>
    <w:rsid w:val="00EC07F3"/>
    <w:rsid w:val="00EC3194"/>
    <w:rsid w:val="00EC3AA9"/>
    <w:rsid w:val="00EC518D"/>
    <w:rsid w:val="00EC71D3"/>
    <w:rsid w:val="00ED02FE"/>
    <w:rsid w:val="00ED1EC9"/>
    <w:rsid w:val="00ED3737"/>
    <w:rsid w:val="00ED3856"/>
    <w:rsid w:val="00ED3E2E"/>
    <w:rsid w:val="00ED4CC8"/>
    <w:rsid w:val="00ED4E5C"/>
    <w:rsid w:val="00ED547D"/>
    <w:rsid w:val="00ED6A08"/>
    <w:rsid w:val="00EE05EE"/>
    <w:rsid w:val="00EE0AE2"/>
    <w:rsid w:val="00EE35B4"/>
    <w:rsid w:val="00EE4BC3"/>
    <w:rsid w:val="00EE5643"/>
    <w:rsid w:val="00EE7CEC"/>
    <w:rsid w:val="00EF056E"/>
    <w:rsid w:val="00EF09B3"/>
    <w:rsid w:val="00EF0A3E"/>
    <w:rsid w:val="00EF3703"/>
    <w:rsid w:val="00EF5EC6"/>
    <w:rsid w:val="00EF646F"/>
    <w:rsid w:val="00EF791E"/>
    <w:rsid w:val="00EF7A63"/>
    <w:rsid w:val="00F00D58"/>
    <w:rsid w:val="00F017EE"/>
    <w:rsid w:val="00F0226C"/>
    <w:rsid w:val="00F02522"/>
    <w:rsid w:val="00F02AE0"/>
    <w:rsid w:val="00F02BFF"/>
    <w:rsid w:val="00F034DC"/>
    <w:rsid w:val="00F03953"/>
    <w:rsid w:val="00F04841"/>
    <w:rsid w:val="00F0579A"/>
    <w:rsid w:val="00F0674D"/>
    <w:rsid w:val="00F10287"/>
    <w:rsid w:val="00F10C82"/>
    <w:rsid w:val="00F13B2E"/>
    <w:rsid w:val="00F176A0"/>
    <w:rsid w:val="00F20174"/>
    <w:rsid w:val="00F22098"/>
    <w:rsid w:val="00F223BC"/>
    <w:rsid w:val="00F23780"/>
    <w:rsid w:val="00F26185"/>
    <w:rsid w:val="00F3178C"/>
    <w:rsid w:val="00F33DE5"/>
    <w:rsid w:val="00F34B8F"/>
    <w:rsid w:val="00F36D7F"/>
    <w:rsid w:val="00F37186"/>
    <w:rsid w:val="00F42FCF"/>
    <w:rsid w:val="00F44A83"/>
    <w:rsid w:val="00F51743"/>
    <w:rsid w:val="00F529D4"/>
    <w:rsid w:val="00F54F27"/>
    <w:rsid w:val="00F55FC8"/>
    <w:rsid w:val="00F604E3"/>
    <w:rsid w:val="00F610E6"/>
    <w:rsid w:val="00F61FCC"/>
    <w:rsid w:val="00F66036"/>
    <w:rsid w:val="00F6689D"/>
    <w:rsid w:val="00F67E23"/>
    <w:rsid w:val="00F702A8"/>
    <w:rsid w:val="00F71601"/>
    <w:rsid w:val="00F72C75"/>
    <w:rsid w:val="00F74033"/>
    <w:rsid w:val="00F759EB"/>
    <w:rsid w:val="00F772F7"/>
    <w:rsid w:val="00F81334"/>
    <w:rsid w:val="00F81A81"/>
    <w:rsid w:val="00F81CC5"/>
    <w:rsid w:val="00F8760D"/>
    <w:rsid w:val="00F87AAD"/>
    <w:rsid w:val="00F9174C"/>
    <w:rsid w:val="00F91D5C"/>
    <w:rsid w:val="00F92097"/>
    <w:rsid w:val="00F951DB"/>
    <w:rsid w:val="00F9574A"/>
    <w:rsid w:val="00F95D64"/>
    <w:rsid w:val="00F9793B"/>
    <w:rsid w:val="00FA0D41"/>
    <w:rsid w:val="00FA0EAA"/>
    <w:rsid w:val="00FA0F53"/>
    <w:rsid w:val="00FA1DA9"/>
    <w:rsid w:val="00FA3809"/>
    <w:rsid w:val="00FA3A95"/>
    <w:rsid w:val="00FA6D7E"/>
    <w:rsid w:val="00FB020D"/>
    <w:rsid w:val="00FB3F33"/>
    <w:rsid w:val="00FB43E4"/>
    <w:rsid w:val="00FB4889"/>
    <w:rsid w:val="00FB676C"/>
    <w:rsid w:val="00FB67CC"/>
    <w:rsid w:val="00FB728E"/>
    <w:rsid w:val="00FC0ADE"/>
    <w:rsid w:val="00FC0FF1"/>
    <w:rsid w:val="00FC1CF2"/>
    <w:rsid w:val="00FC1FDF"/>
    <w:rsid w:val="00FC3360"/>
    <w:rsid w:val="00FC3E27"/>
    <w:rsid w:val="00FC493B"/>
    <w:rsid w:val="00FC63E5"/>
    <w:rsid w:val="00FD0E54"/>
    <w:rsid w:val="00FD19BB"/>
    <w:rsid w:val="00FD2B71"/>
    <w:rsid w:val="00FD3006"/>
    <w:rsid w:val="00FD3576"/>
    <w:rsid w:val="00FD52D6"/>
    <w:rsid w:val="00FD56FC"/>
    <w:rsid w:val="00FD752B"/>
    <w:rsid w:val="00FD7DD7"/>
    <w:rsid w:val="00FD7EB3"/>
    <w:rsid w:val="00FE033E"/>
    <w:rsid w:val="00FE0D2F"/>
    <w:rsid w:val="00FE31C6"/>
    <w:rsid w:val="00FE4A65"/>
    <w:rsid w:val="00FE51E8"/>
    <w:rsid w:val="00FE602F"/>
    <w:rsid w:val="00FE7611"/>
    <w:rsid w:val="00FF0769"/>
    <w:rsid w:val="00FF0DB8"/>
    <w:rsid w:val="00FF1A76"/>
    <w:rsid w:val="00FF1C1D"/>
    <w:rsid w:val="00FF3330"/>
    <w:rsid w:val="00FF4080"/>
    <w:rsid w:val="00FF40A5"/>
    <w:rsid w:val="00FF48DA"/>
    <w:rsid w:val="00FF5E19"/>
    <w:rsid w:val="00FF61AD"/>
    <w:rsid w:val="00FF76BD"/>
    <w:rsid w:val="03E20F22"/>
    <w:rsid w:val="065756D6"/>
    <w:rsid w:val="06EF547A"/>
    <w:rsid w:val="074B28A4"/>
    <w:rsid w:val="07823134"/>
    <w:rsid w:val="09C837C5"/>
    <w:rsid w:val="09E01037"/>
    <w:rsid w:val="0A9165D5"/>
    <w:rsid w:val="0AD66CAE"/>
    <w:rsid w:val="0AE94B37"/>
    <w:rsid w:val="0B8F5465"/>
    <w:rsid w:val="0C513E99"/>
    <w:rsid w:val="0D030185"/>
    <w:rsid w:val="0D4C7E82"/>
    <w:rsid w:val="0FAC6CD6"/>
    <w:rsid w:val="0FB67285"/>
    <w:rsid w:val="10C16EB7"/>
    <w:rsid w:val="144B7AC1"/>
    <w:rsid w:val="1477016C"/>
    <w:rsid w:val="149511CE"/>
    <w:rsid w:val="14F5622F"/>
    <w:rsid w:val="17D67D47"/>
    <w:rsid w:val="17DE4C89"/>
    <w:rsid w:val="18426AF9"/>
    <w:rsid w:val="1AA56983"/>
    <w:rsid w:val="1AFA36C5"/>
    <w:rsid w:val="1B0D17EF"/>
    <w:rsid w:val="1B6C2DE4"/>
    <w:rsid w:val="1C9D3BDC"/>
    <w:rsid w:val="1D2B65D8"/>
    <w:rsid w:val="1D81389B"/>
    <w:rsid w:val="1E0D2285"/>
    <w:rsid w:val="1F121443"/>
    <w:rsid w:val="207F01E9"/>
    <w:rsid w:val="211645C6"/>
    <w:rsid w:val="22231F38"/>
    <w:rsid w:val="223B4FDD"/>
    <w:rsid w:val="226517C9"/>
    <w:rsid w:val="23382585"/>
    <w:rsid w:val="285C7DA7"/>
    <w:rsid w:val="290F3DA7"/>
    <w:rsid w:val="2B4E5A21"/>
    <w:rsid w:val="2C3B46E3"/>
    <w:rsid w:val="2C6F17D8"/>
    <w:rsid w:val="2C786145"/>
    <w:rsid w:val="2F4339D4"/>
    <w:rsid w:val="32534043"/>
    <w:rsid w:val="343C0DE9"/>
    <w:rsid w:val="344F14B0"/>
    <w:rsid w:val="365420B9"/>
    <w:rsid w:val="36C23BC9"/>
    <w:rsid w:val="3BD952C2"/>
    <w:rsid w:val="3CB63496"/>
    <w:rsid w:val="3CEA5E6A"/>
    <w:rsid w:val="3D1E27A2"/>
    <w:rsid w:val="3E3E57FE"/>
    <w:rsid w:val="402A7270"/>
    <w:rsid w:val="4155145F"/>
    <w:rsid w:val="43751C81"/>
    <w:rsid w:val="44164DAE"/>
    <w:rsid w:val="45F50632"/>
    <w:rsid w:val="47213797"/>
    <w:rsid w:val="47E8188E"/>
    <w:rsid w:val="4A3C43A7"/>
    <w:rsid w:val="4B8C7D94"/>
    <w:rsid w:val="4C03392E"/>
    <w:rsid w:val="4D0F52DE"/>
    <w:rsid w:val="4DB57604"/>
    <w:rsid w:val="4F030A2B"/>
    <w:rsid w:val="4F7C2C0E"/>
    <w:rsid w:val="50E33DA8"/>
    <w:rsid w:val="526E6677"/>
    <w:rsid w:val="527A551C"/>
    <w:rsid w:val="55604C10"/>
    <w:rsid w:val="55F708FD"/>
    <w:rsid w:val="56145632"/>
    <w:rsid w:val="57B35854"/>
    <w:rsid w:val="57DE552D"/>
    <w:rsid w:val="5A1F7B73"/>
    <w:rsid w:val="5B4136EA"/>
    <w:rsid w:val="5B4F5173"/>
    <w:rsid w:val="5C7C23BF"/>
    <w:rsid w:val="5D7455FD"/>
    <w:rsid w:val="5E417F2A"/>
    <w:rsid w:val="614E7A02"/>
    <w:rsid w:val="633A681D"/>
    <w:rsid w:val="63766829"/>
    <w:rsid w:val="65FF54A6"/>
    <w:rsid w:val="68A95260"/>
    <w:rsid w:val="69D33AE8"/>
    <w:rsid w:val="69DF67AE"/>
    <w:rsid w:val="6A36659A"/>
    <w:rsid w:val="6B0C0C1A"/>
    <w:rsid w:val="6C406ED8"/>
    <w:rsid w:val="6D397612"/>
    <w:rsid w:val="6D7606D8"/>
    <w:rsid w:val="6E570C89"/>
    <w:rsid w:val="6E90591D"/>
    <w:rsid w:val="6E945F4C"/>
    <w:rsid w:val="6EB1405E"/>
    <w:rsid w:val="7111025F"/>
    <w:rsid w:val="733D5FA3"/>
    <w:rsid w:val="736633EF"/>
    <w:rsid w:val="75BF662D"/>
    <w:rsid w:val="767E2F22"/>
    <w:rsid w:val="773B25EF"/>
    <w:rsid w:val="77CA6A96"/>
    <w:rsid w:val="7B245423"/>
    <w:rsid w:val="7BE0580E"/>
    <w:rsid w:val="7CA16767"/>
    <w:rsid w:val="7F6F4201"/>
    <w:rsid w:val="7F914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semiHidden="0" w:name="toc 1"/>
    <w:lsdException w:qFormat="1" w:unhideWhenUsed="0" w:uiPriority="99" w:semiHidden="0" w:name="toc 2"/>
    <w:lsdException w:qFormat="1" w:unhideWhenUsed="0" w:uiPriority="9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35" w:name="caption" w:locked="1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99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 w:locked="1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99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22" w:semiHidden="0" w:name="Strong" w:locked="1"/>
    <w:lsdException w:qFormat="1" w:unhideWhenUsed="0" w:uiPriority="20" w:semiHidden="0" w:name="Emphasis" w:locked="1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99" w:name="annotation subject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overflowPunct w:val="0"/>
      <w:autoSpaceDE w:val="0"/>
      <w:autoSpaceDN w:val="0"/>
      <w:adjustRightInd w:val="0"/>
      <w:textAlignment w:val="baseline"/>
    </w:pPr>
    <w:rPr>
      <w:rFonts w:ascii="Times New Roman" w:hAnsi="Times New Roman" w:eastAsia="宋体" w:cs="Times New Roman"/>
      <w:sz w:val="21"/>
      <w:lang w:val="en-GB" w:eastAsia="en-US" w:bidi="ar-SA"/>
    </w:rPr>
  </w:style>
  <w:style w:type="paragraph" w:styleId="2">
    <w:name w:val="heading 1"/>
    <w:basedOn w:val="1"/>
    <w:next w:val="1"/>
    <w:link w:val="25"/>
    <w:qFormat/>
    <w:uiPriority w:val="99"/>
    <w:pPr>
      <w:keepNext/>
      <w:keepLines/>
      <w:numPr>
        <w:ilvl w:val="0"/>
        <w:numId w:val="1"/>
      </w:numPr>
      <w:spacing w:line="360" w:lineRule="auto"/>
      <w:outlineLvl w:val="0"/>
    </w:pPr>
    <w:rPr>
      <w:b/>
      <w:bCs/>
      <w:kern w:val="44"/>
      <w:sz w:val="22"/>
      <w:szCs w:val="44"/>
    </w:rPr>
  </w:style>
  <w:style w:type="paragraph" w:styleId="3">
    <w:name w:val="heading 2"/>
    <w:basedOn w:val="1"/>
    <w:next w:val="1"/>
    <w:link w:val="26"/>
    <w:qFormat/>
    <w:uiPriority w:val="99"/>
    <w:pPr>
      <w:keepNext/>
      <w:keepLines/>
      <w:spacing w:line="360" w:lineRule="auto"/>
      <w:outlineLvl w:val="1"/>
    </w:pPr>
    <w:rPr>
      <w:bCs/>
      <w:sz w:val="22"/>
      <w:szCs w:val="32"/>
    </w:rPr>
  </w:style>
  <w:style w:type="paragraph" w:styleId="4">
    <w:name w:val="heading 3"/>
    <w:basedOn w:val="1"/>
    <w:next w:val="1"/>
    <w:link w:val="27"/>
    <w:qFormat/>
    <w:uiPriority w:val="99"/>
    <w:pPr>
      <w:keepNext/>
      <w:spacing w:line="360" w:lineRule="auto"/>
      <w:outlineLvl w:val="2"/>
    </w:pPr>
    <w:rPr>
      <w:sz w:val="22"/>
    </w:rPr>
  </w:style>
  <w:style w:type="paragraph" w:styleId="5">
    <w:name w:val="heading 4"/>
    <w:basedOn w:val="1"/>
    <w:next w:val="1"/>
    <w:link w:val="28"/>
    <w:qFormat/>
    <w:uiPriority w:val="99"/>
    <w:pPr>
      <w:keepNext/>
      <w:spacing w:before="240" w:after="60"/>
      <w:outlineLvl w:val="3"/>
    </w:pPr>
    <w:rPr>
      <w:b/>
      <w:i/>
    </w:rPr>
  </w:style>
  <w:style w:type="character" w:default="1" w:styleId="21">
    <w:name w:val="Default Paragraph Font"/>
    <w:semiHidden/>
    <w:unhideWhenUsed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link w:val="29"/>
    <w:semiHidden/>
    <w:qFormat/>
    <w:uiPriority w:val="99"/>
    <w:rPr>
      <w:sz w:val="24"/>
    </w:rPr>
  </w:style>
  <w:style w:type="paragraph" w:styleId="7">
    <w:name w:val="Body Text 3"/>
    <w:basedOn w:val="1"/>
    <w:link w:val="30"/>
    <w:qFormat/>
    <w:uiPriority w:val="99"/>
    <w:pPr>
      <w:spacing w:after="120"/>
    </w:pPr>
    <w:rPr>
      <w:sz w:val="16"/>
      <w:szCs w:val="16"/>
    </w:rPr>
  </w:style>
  <w:style w:type="paragraph" w:styleId="8">
    <w:name w:val="Body Text"/>
    <w:basedOn w:val="1"/>
    <w:link w:val="31"/>
    <w:qFormat/>
    <w:uiPriority w:val="99"/>
    <w:pPr>
      <w:ind w:right="56"/>
    </w:pPr>
    <w:rPr>
      <w:b/>
      <w:sz w:val="22"/>
    </w:rPr>
  </w:style>
  <w:style w:type="paragraph" w:styleId="9">
    <w:name w:val="Body Text Indent"/>
    <w:basedOn w:val="1"/>
    <w:link w:val="32"/>
    <w:qFormat/>
    <w:uiPriority w:val="99"/>
    <w:pPr>
      <w:spacing w:after="120"/>
      <w:ind w:left="420" w:leftChars="200"/>
    </w:pPr>
  </w:style>
  <w:style w:type="paragraph" w:styleId="10">
    <w:name w:val="toc 3"/>
    <w:basedOn w:val="1"/>
    <w:next w:val="1"/>
    <w:qFormat/>
    <w:uiPriority w:val="99"/>
    <w:pPr>
      <w:tabs>
        <w:tab w:val="right" w:leader="dot" w:pos="8302"/>
        <w:tab w:val="right" w:leader="dot" w:pos="8835"/>
      </w:tabs>
      <w:spacing w:line="360" w:lineRule="auto"/>
      <w:ind w:left="300" w:leftChars="300"/>
    </w:pPr>
    <w:rPr>
      <w:sz w:val="20"/>
    </w:rPr>
  </w:style>
  <w:style w:type="paragraph" w:styleId="11">
    <w:name w:val="Body Text Indent 2"/>
    <w:basedOn w:val="1"/>
    <w:link w:val="33"/>
    <w:qFormat/>
    <w:uiPriority w:val="99"/>
    <w:pPr>
      <w:spacing w:after="120" w:line="480" w:lineRule="auto"/>
      <w:ind w:left="420" w:leftChars="200"/>
    </w:pPr>
  </w:style>
  <w:style w:type="paragraph" w:styleId="12">
    <w:name w:val="Balloon Text"/>
    <w:basedOn w:val="1"/>
    <w:link w:val="34"/>
    <w:semiHidden/>
    <w:qFormat/>
    <w:uiPriority w:val="99"/>
    <w:rPr>
      <w:sz w:val="18"/>
      <w:szCs w:val="18"/>
    </w:rPr>
  </w:style>
  <w:style w:type="paragraph" w:styleId="13">
    <w:name w:val="footer"/>
    <w:basedOn w:val="1"/>
    <w:link w:val="46"/>
    <w:qFormat/>
    <w:uiPriority w:val="99"/>
    <w:pPr>
      <w:tabs>
        <w:tab w:val="center" w:pos="4320"/>
        <w:tab w:val="right" w:pos="8640"/>
      </w:tabs>
    </w:pPr>
    <w:rPr>
      <w:sz w:val="24"/>
    </w:rPr>
  </w:style>
  <w:style w:type="paragraph" w:styleId="14">
    <w:name w:val="header"/>
    <w:basedOn w:val="1"/>
    <w:link w:val="36"/>
    <w:qFormat/>
    <w:uiPriority w:val="99"/>
    <w:pPr>
      <w:tabs>
        <w:tab w:val="center" w:pos="4320"/>
        <w:tab w:val="right" w:pos="8640"/>
      </w:tabs>
    </w:pPr>
    <w:rPr>
      <w:sz w:val="24"/>
    </w:rPr>
  </w:style>
  <w:style w:type="paragraph" w:styleId="15">
    <w:name w:val="toc 1"/>
    <w:basedOn w:val="1"/>
    <w:next w:val="1"/>
    <w:qFormat/>
    <w:uiPriority w:val="99"/>
    <w:pPr>
      <w:widowControl w:val="0"/>
      <w:tabs>
        <w:tab w:val="left" w:pos="840"/>
        <w:tab w:val="right" w:leader="dot" w:pos="10080"/>
      </w:tabs>
      <w:overflowPunct/>
      <w:autoSpaceDE/>
      <w:autoSpaceDN/>
      <w:adjustRightInd/>
      <w:spacing w:line="360" w:lineRule="auto"/>
      <w:ind w:left="210"/>
      <w:textAlignment w:val="auto"/>
    </w:pPr>
    <w:rPr>
      <w:b/>
      <w:bCs/>
      <w:caps/>
      <w:kern w:val="2"/>
      <w:lang w:val="en-US" w:eastAsia="zh-CN"/>
    </w:rPr>
  </w:style>
  <w:style w:type="paragraph" w:styleId="16">
    <w:name w:val="toc 2"/>
    <w:basedOn w:val="1"/>
    <w:next w:val="1"/>
    <w:qFormat/>
    <w:uiPriority w:val="99"/>
    <w:pPr>
      <w:widowControl w:val="0"/>
      <w:tabs>
        <w:tab w:val="right" w:leader="dot" w:pos="8302"/>
      </w:tabs>
      <w:overflowPunct/>
      <w:autoSpaceDE/>
      <w:autoSpaceDN/>
      <w:adjustRightInd/>
      <w:spacing w:line="360" w:lineRule="auto"/>
      <w:ind w:left="200" w:leftChars="200"/>
      <w:textAlignment w:val="auto"/>
    </w:pPr>
    <w:rPr>
      <w:kern w:val="2"/>
      <w:lang w:val="en-US" w:eastAsia="zh-CN"/>
    </w:rPr>
  </w:style>
  <w:style w:type="paragraph" w:styleId="17">
    <w:name w:val="Title"/>
    <w:basedOn w:val="1"/>
    <w:next w:val="1"/>
    <w:link w:val="37"/>
    <w:qFormat/>
    <w:uiPriority w:val="99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paragraph" w:styleId="18">
    <w:name w:val="annotation subject"/>
    <w:basedOn w:val="6"/>
    <w:next w:val="6"/>
    <w:link w:val="38"/>
    <w:semiHidden/>
    <w:qFormat/>
    <w:uiPriority w:val="99"/>
    <w:rPr>
      <w:b/>
      <w:bCs/>
    </w:rPr>
  </w:style>
  <w:style w:type="table" w:styleId="20">
    <w:name w:val="Table Grid"/>
    <w:basedOn w:val="19"/>
    <w:qFormat/>
    <w:uiPriority w:val="99"/>
    <w:pPr>
      <w:overflowPunct w:val="0"/>
      <w:autoSpaceDE w:val="0"/>
      <w:autoSpaceDN w:val="0"/>
      <w:adjustRightInd w:val="0"/>
      <w:textAlignment w:val="baseline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2">
    <w:name w:val="page number"/>
    <w:basedOn w:val="21"/>
    <w:qFormat/>
    <w:uiPriority w:val="99"/>
    <w:rPr>
      <w:rFonts w:cs="Times New Roman"/>
    </w:rPr>
  </w:style>
  <w:style w:type="character" w:styleId="23">
    <w:name w:val="Hyperlink"/>
    <w:basedOn w:val="21"/>
    <w:qFormat/>
    <w:uiPriority w:val="99"/>
    <w:rPr>
      <w:rFonts w:cs="Times New Roman"/>
      <w:color w:val="0000FF"/>
      <w:u w:val="single"/>
    </w:rPr>
  </w:style>
  <w:style w:type="character" w:styleId="24">
    <w:name w:val="annotation reference"/>
    <w:basedOn w:val="21"/>
    <w:semiHidden/>
    <w:qFormat/>
    <w:uiPriority w:val="99"/>
    <w:rPr>
      <w:rFonts w:cs="Times New Roman"/>
      <w:sz w:val="21"/>
    </w:rPr>
  </w:style>
  <w:style w:type="character" w:customStyle="1" w:styleId="25">
    <w:name w:val="标题 1 Char"/>
    <w:basedOn w:val="21"/>
    <w:link w:val="2"/>
    <w:qFormat/>
    <w:uiPriority w:val="9"/>
    <w:rPr>
      <w:b/>
      <w:bCs/>
      <w:kern w:val="44"/>
      <w:sz w:val="44"/>
      <w:szCs w:val="44"/>
      <w:lang w:val="en-GB" w:eastAsia="en-US"/>
    </w:rPr>
  </w:style>
  <w:style w:type="character" w:customStyle="1" w:styleId="26">
    <w:name w:val="标题 2 Char"/>
    <w:basedOn w:val="21"/>
    <w:link w:val="3"/>
    <w:semiHidden/>
    <w:qFormat/>
    <w:uiPriority w:val="9"/>
    <w:rPr>
      <w:rFonts w:asciiTheme="majorHAnsi" w:hAnsiTheme="majorHAnsi" w:eastAsiaTheme="majorEastAsia" w:cstheme="majorBidi"/>
      <w:b/>
      <w:bCs/>
      <w:kern w:val="0"/>
      <w:sz w:val="32"/>
      <w:szCs w:val="32"/>
      <w:lang w:val="en-GB" w:eastAsia="en-US"/>
    </w:rPr>
  </w:style>
  <w:style w:type="character" w:customStyle="1" w:styleId="27">
    <w:name w:val="标题 3 Char"/>
    <w:basedOn w:val="21"/>
    <w:link w:val="4"/>
    <w:semiHidden/>
    <w:qFormat/>
    <w:uiPriority w:val="9"/>
    <w:rPr>
      <w:b/>
      <w:bCs/>
      <w:kern w:val="0"/>
      <w:sz w:val="32"/>
      <w:szCs w:val="32"/>
      <w:lang w:val="en-GB" w:eastAsia="en-US"/>
    </w:rPr>
  </w:style>
  <w:style w:type="character" w:customStyle="1" w:styleId="28">
    <w:name w:val="标题 4 Char"/>
    <w:basedOn w:val="21"/>
    <w:link w:val="5"/>
    <w:semiHidden/>
    <w:qFormat/>
    <w:uiPriority w:val="9"/>
    <w:rPr>
      <w:rFonts w:asciiTheme="majorHAnsi" w:hAnsiTheme="majorHAnsi" w:eastAsiaTheme="majorEastAsia" w:cstheme="majorBidi"/>
      <w:b/>
      <w:bCs/>
      <w:kern w:val="0"/>
      <w:sz w:val="28"/>
      <w:szCs w:val="28"/>
      <w:lang w:val="en-GB" w:eastAsia="en-US"/>
    </w:rPr>
  </w:style>
  <w:style w:type="character" w:customStyle="1" w:styleId="29">
    <w:name w:val="批注文字 Char"/>
    <w:basedOn w:val="21"/>
    <w:link w:val="6"/>
    <w:semiHidden/>
    <w:qFormat/>
    <w:locked/>
    <w:uiPriority w:val="99"/>
    <w:rPr>
      <w:sz w:val="24"/>
      <w:lang w:val="en-GB" w:eastAsia="en-US"/>
    </w:rPr>
  </w:style>
  <w:style w:type="character" w:customStyle="1" w:styleId="30">
    <w:name w:val="正文文本 3 Char"/>
    <w:basedOn w:val="21"/>
    <w:link w:val="7"/>
    <w:semiHidden/>
    <w:qFormat/>
    <w:uiPriority w:val="99"/>
    <w:rPr>
      <w:kern w:val="0"/>
      <w:sz w:val="16"/>
      <w:szCs w:val="16"/>
      <w:lang w:val="en-GB" w:eastAsia="en-US"/>
    </w:rPr>
  </w:style>
  <w:style w:type="character" w:customStyle="1" w:styleId="31">
    <w:name w:val="正文文本 Char"/>
    <w:basedOn w:val="21"/>
    <w:link w:val="8"/>
    <w:semiHidden/>
    <w:qFormat/>
    <w:uiPriority w:val="99"/>
    <w:rPr>
      <w:kern w:val="0"/>
      <w:szCs w:val="20"/>
      <w:lang w:val="en-GB" w:eastAsia="en-US"/>
    </w:rPr>
  </w:style>
  <w:style w:type="character" w:customStyle="1" w:styleId="32">
    <w:name w:val="正文文本缩进 Char"/>
    <w:basedOn w:val="21"/>
    <w:link w:val="9"/>
    <w:semiHidden/>
    <w:qFormat/>
    <w:uiPriority w:val="99"/>
    <w:rPr>
      <w:kern w:val="0"/>
      <w:szCs w:val="20"/>
      <w:lang w:val="en-GB" w:eastAsia="en-US"/>
    </w:rPr>
  </w:style>
  <w:style w:type="character" w:customStyle="1" w:styleId="33">
    <w:name w:val="正文文本缩进 2 Char"/>
    <w:basedOn w:val="21"/>
    <w:link w:val="11"/>
    <w:semiHidden/>
    <w:qFormat/>
    <w:uiPriority w:val="99"/>
    <w:rPr>
      <w:kern w:val="0"/>
      <w:szCs w:val="20"/>
      <w:lang w:val="en-GB" w:eastAsia="en-US"/>
    </w:rPr>
  </w:style>
  <w:style w:type="character" w:customStyle="1" w:styleId="34">
    <w:name w:val="批注框文本 Char"/>
    <w:basedOn w:val="21"/>
    <w:link w:val="12"/>
    <w:semiHidden/>
    <w:qFormat/>
    <w:uiPriority w:val="99"/>
    <w:rPr>
      <w:kern w:val="0"/>
      <w:sz w:val="0"/>
      <w:szCs w:val="0"/>
      <w:lang w:val="en-GB" w:eastAsia="en-US"/>
    </w:rPr>
  </w:style>
  <w:style w:type="character" w:customStyle="1" w:styleId="35">
    <w:name w:val="Footer Char"/>
    <w:basedOn w:val="21"/>
    <w:semiHidden/>
    <w:qFormat/>
    <w:locked/>
    <w:uiPriority w:val="99"/>
    <w:rPr>
      <w:rFonts w:cs="Times New Roman"/>
      <w:sz w:val="18"/>
      <w:szCs w:val="18"/>
    </w:rPr>
  </w:style>
  <w:style w:type="character" w:customStyle="1" w:styleId="36">
    <w:name w:val="页眉 Char"/>
    <w:basedOn w:val="21"/>
    <w:link w:val="14"/>
    <w:qFormat/>
    <w:locked/>
    <w:uiPriority w:val="99"/>
    <w:rPr>
      <w:rFonts w:eastAsia="宋体"/>
      <w:sz w:val="24"/>
      <w:lang w:val="en-GB" w:eastAsia="en-US"/>
    </w:rPr>
  </w:style>
  <w:style w:type="character" w:customStyle="1" w:styleId="37">
    <w:name w:val="标题 Char"/>
    <w:basedOn w:val="21"/>
    <w:link w:val="17"/>
    <w:qFormat/>
    <w:locked/>
    <w:uiPriority w:val="99"/>
    <w:rPr>
      <w:rFonts w:ascii="Calibri Light" w:hAnsi="Calibri Light"/>
      <w:b/>
      <w:sz w:val="32"/>
      <w:lang w:val="en-GB" w:eastAsia="en-US"/>
    </w:rPr>
  </w:style>
  <w:style w:type="character" w:customStyle="1" w:styleId="38">
    <w:name w:val="批注主题 Char"/>
    <w:basedOn w:val="29"/>
    <w:link w:val="18"/>
    <w:semiHidden/>
    <w:qFormat/>
    <w:uiPriority w:val="99"/>
    <w:rPr>
      <w:b/>
      <w:bCs/>
      <w:kern w:val="0"/>
      <w:sz w:val="24"/>
      <w:szCs w:val="20"/>
      <w:lang w:val="en-GB" w:eastAsia="en-US"/>
    </w:rPr>
  </w:style>
  <w:style w:type="paragraph" w:customStyle="1" w:styleId="39">
    <w:name w:val="Table"/>
    <w:basedOn w:val="1"/>
    <w:qFormat/>
    <w:uiPriority w:val="99"/>
    <w:pPr>
      <w:keepLines/>
      <w:tabs>
        <w:tab w:val="left" w:pos="284"/>
      </w:tabs>
      <w:overflowPunct/>
      <w:autoSpaceDE/>
      <w:autoSpaceDN/>
      <w:adjustRightInd/>
      <w:spacing w:before="40" w:after="20"/>
      <w:textAlignment w:val="auto"/>
    </w:pPr>
    <w:rPr>
      <w:rFonts w:ascii="Arial" w:hAnsi="Arial"/>
      <w:sz w:val="20"/>
      <w:lang w:val="en-US"/>
    </w:rPr>
  </w:style>
  <w:style w:type="paragraph" w:customStyle="1" w:styleId="40">
    <w:name w:val="Default Text"/>
    <w:basedOn w:val="1"/>
    <w:qFormat/>
    <w:uiPriority w:val="99"/>
    <w:pPr>
      <w:overflowPunct/>
      <w:textAlignment w:val="auto"/>
    </w:pPr>
    <w:rPr>
      <w:rFonts w:ascii="Arial" w:hAnsi="Arial"/>
      <w:szCs w:val="24"/>
      <w:lang w:val="en-US"/>
    </w:rPr>
  </w:style>
  <w:style w:type="paragraph" w:customStyle="1" w:styleId="41">
    <w:name w:val="Style"/>
    <w:basedOn w:val="1"/>
    <w:qFormat/>
    <w:uiPriority w:val="99"/>
    <w:pPr>
      <w:overflowPunct/>
      <w:textAlignment w:val="auto"/>
    </w:pPr>
    <w:rPr>
      <w:rFonts w:ascii="Arial" w:hAnsi="Arial"/>
      <w:szCs w:val="24"/>
      <w:lang w:val="en-US"/>
    </w:rPr>
  </w:style>
  <w:style w:type="paragraph" w:customStyle="1" w:styleId="42">
    <w:name w:val="正文1"/>
    <w:basedOn w:val="1"/>
    <w:qFormat/>
    <w:uiPriority w:val="99"/>
    <w:pPr>
      <w:overflowPunct/>
      <w:textAlignment w:val="auto"/>
    </w:pPr>
    <w:rPr>
      <w:rFonts w:ascii="Arial" w:hAnsi="Arial"/>
      <w:sz w:val="20"/>
      <w:lang w:val="en-US"/>
    </w:rPr>
  </w:style>
  <w:style w:type="paragraph" w:customStyle="1" w:styleId="43">
    <w:name w:val="Revision1"/>
    <w:hidden/>
    <w:semiHidden/>
    <w:qFormat/>
    <w:uiPriority w:val="99"/>
    <w:rPr>
      <w:rFonts w:ascii="Times New Roman" w:hAnsi="Times New Roman" w:eastAsia="宋体" w:cs="Times New Roman"/>
      <w:sz w:val="24"/>
      <w:lang w:val="en-GB" w:eastAsia="en-US" w:bidi="ar-SA"/>
    </w:rPr>
  </w:style>
  <w:style w:type="paragraph" w:styleId="44">
    <w:name w:val="List Paragraph"/>
    <w:basedOn w:val="1"/>
    <w:qFormat/>
    <w:uiPriority w:val="99"/>
    <w:pPr>
      <w:widowControl w:val="0"/>
      <w:overflowPunct/>
      <w:autoSpaceDE/>
      <w:autoSpaceDN/>
      <w:adjustRightInd/>
      <w:ind w:firstLine="420" w:firstLineChars="200"/>
      <w:jc w:val="both"/>
      <w:textAlignment w:val="auto"/>
    </w:pPr>
    <w:rPr>
      <w:rFonts w:ascii="Calibri" w:hAnsi="Calibri"/>
      <w:kern w:val="2"/>
      <w:szCs w:val="22"/>
      <w:lang w:val="en-US" w:eastAsia="zh-CN"/>
    </w:rPr>
  </w:style>
  <w:style w:type="paragraph" w:customStyle="1" w:styleId="45">
    <w:name w:val="TOC Heading1"/>
    <w:basedOn w:val="2"/>
    <w:next w:val="1"/>
    <w:qFormat/>
    <w:uiPriority w:val="99"/>
    <w:pPr>
      <w:numPr>
        <w:numId w:val="0"/>
      </w:numPr>
      <w:outlineLvl w:val="9"/>
    </w:pPr>
  </w:style>
  <w:style w:type="character" w:customStyle="1" w:styleId="46">
    <w:name w:val="页脚 Char"/>
    <w:link w:val="13"/>
    <w:qFormat/>
    <w:locked/>
    <w:uiPriority w:val="99"/>
    <w:rPr>
      <w:sz w:val="24"/>
      <w:lang w:val="en-GB" w:eastAsia="en-US"/>
    </w:rPr>
  </w:style>
  <w:style w:type="character" w:customStyle="1" w:styleId="47">
    <w:name w:val="instruction standard blue"/>
    <w:qFormat/>
    <w:uiPriority w:val="99"/>
    <w:rPr>
      <w:i/>
      <w:color w:val="0070C0"/>
    </w:rPr>
  </w:style>
  <w:style w:type="character" w:customStyle="1" w:styleId="48">
    <w:name w:val="keyword"/>
    <w:basedOn w:val="21"/>
    <w:qFormat/>
    <w:uiPriority w:val="99"/>
    <w:rPr>
      <w:rFonts w:cs="Times New Roman"/>
    </w:rPr>
  </w:style>
  <w:style w:type="paragraph" w:customStyle="1" w:styleId="49">
    <w:name w:val="numbering blue"/>
    <w:basedOn w:val="1"/>
    <w:link w:val="50"/>
    <w:qFormat/>
    <w:uiPriority w:val="99"/>
    <w:pPr>
      <w:numPr>
        <w:ilvl w:val="0"/>
        <w:numId w:val="2"/>
      </w:numPr>
      <w:overflowPunct/>
      <w:autoSpaceDE/>
      <w:autoSpaceDN/>
      <w:adjustRightInd/>
      <w:spacing w:after="120"/>
      <w:ind w:left="357" w:hanging="357"/>
      <w:contextualSpacing/>
      <w:textAlignment w:val="auto"/>
    </w:pPr>
    <w:rPr>
      <w:rFonts w:ascii="Arial" w:hAnsi="Arial" w:eastAsia="PMingLiUfalt"/>
      <w:color w:val="0070C0"/>
      <w:sz w:val="20"/>
      <w:lang w:val="en-US" w:eastAsia="zh-TW"/>
    </w:rPr>
  </w:style>
  <w:style w:type="character" w:customStyle="1" w:styleId="50">
    <w:name w:val="numbering blue Zchn"/>
    <w:link w:val="49"/>
    <w:qFormat/>
    <w:locked/>
    <w:uiPriority w:val="99"/>
    <w:rPr>
      <w:rFonts w:ascii="Arial" w:hAnsi="Arial" w:eastAsia="PMingLiUfalt"/>
      <w:color w:val="0070C0"/>
      <w:lang w:eastAsia="zh-TW"/>
    </w:rPr>
  </w:style>
  <w:style w:type="paragraph" w:customStyle="1" w:styleId="51">
    <w:name w:val="Default"/>
    <w:qFormat/>
    <w:uiPriority w:val="99"/>
    <w:pPr>
      <w:widowControl w:val="0"/>
      <w:autoSpaceDE w:val="0"/>
      <w:autoSpaceDN w:val="0"/>
    </w:pPr>
    <w:rPr>
      <w:rFonts w:ascii="Arial" w:hAnsi="Arial" w:eastAsia="宋体" w:cs="Times New Roman"/>
      <w:color w:val="000000"/>
      <w:sz w:val="24"/>
      <w:lang w:val="en-US" w:eastAsia="zh-CN" w:bidi="ar-SA"/>
    </w:rPr>
  </w:style>
  <w:style w:type="character" w:customStyle="1" w:styleId="52">
    <w:name w:val="Text Char"/>
    <w:link w:val="53"/>
    <w:qFormat/>
    <w:locked/>
    <w:uiPriority w:val="99"/>
    <w:rPr>
      <w:sz w:val="24"/>
      <w:lang w:eastAsia="en-US"/>
    </w:rPr>
  </w:style>
  <w:style w:type="paragraph" w:customStyle="1" w:styleId="53">
    <w:name w:val="Text"/>
    <w:basedOn w:val="1"/>
    <w:link w:val="52"/>
    <w:qFormat/>
    <w:uiPriority w:val="99"/>
    <w:pPr>
      <w:overflowPunct/>
      <w:autoSpaceDE/>
      <w:autoSpaceDN/>
      <w:adjustRightInd/>
      <w:spacing w:before="120"/>
      <w:jc w:val="both"/>
      <w:textAlignment w:val="auto"/>
    </w:pPr>
    <w:rPr>
      <w:sz w:val="24"/>
      <w:lang w:val="en-US"/>
    </w:rPr>
  </w:style>
  <w:style w:type="character" w:customStyle="1" w:styleId="54">
    <w:name w:val="ordinary-span-edit2"/>
    <w:qFormat/>
    <w:uiPriority w:val="99"/>
  </w:style>
  <w:style w:type="character" w:customStyle="1" w:styleId="55">
    <w:name w:val="apple-converted-space"/>
    <w:basedOn w:val="21"/>
    <w:qFormat/>
    <w:uiPriority w:val="99"/>
    <w:rPr>
      <w:rFonts w:cs="Times New Roman"/>
    </w:rPr>
  </w:style>
  <w:style w:type="paragraph" w:customStyle="1" w:styleId="56">
    <w:name w:val="Table text"/>
    <w:basedOn w:val="1"/>
    <w:qFormat/>
    <w:uiPriority w:val="99"/>
    <w:pPr>
      <w:overflowPunct/>
      <w:autoSpaceDE/>
      <w:autoSpaceDN/>
      <w:adjustRightInd/>
      <w:spacing w:before="120" w:after="120"/>
      <w:jc w:val="both"/>
      <w:textAlignment w:val="auto"/>
    </w:pPr>
    <w:rPr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Win10NeT.COM</Company>
  <Pages>6</Pages>
  <Words>2632</Words>
  <Characters>2733</Characters>
  <Lines>21</Lines>
  <Paragraphs>6</Paragraphs>
  <TotalTime>395</TotalTime>
  <ScaleCrop>false</ScaleCrop>
  <LinksUpToDate>false</LinksUpToDate>
  <CharactersWithSpaces>2740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2022-09-13T02:43:00Z</dcterms:created>
  <dc:creator>Lilly</dc:creator>
  <cp:lastModifiedBy>WPS_1627192026</cp:lastModifiedBy>
  <cp:lastPrinted>2019-04-10T00:58:00Z</cp:lastPrinted>
  <dcterms:modified xsi:type="dcterms:W3CDTF">2022-09-16T06:39:30Z</dcterms:modified>
  <dc:title>生效期：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A7537E4DE05C44F09724A25C5F15A15F</vt:lpwstr>
  </property>
</Properties>
</file>